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5789"/>
        <w:gridCol w:w="1092"/>
        <w:gridCol w:w="11"/>
        <w:gridCol w:w="882"/>
      </w:tblGrid>
      <w:tr w:rsidR="00167077" w:rsidRPr="008F2C27" w14:paraId="5C3298EB" w14:textId="77777777" w:rsidTr="00965F0E">
        <w:trPr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8034CE" w14:textId="1FB37F55" w:rsidR="00FF5C3A" w:rsidRPr="000C7DAE" w:rsidRDefault="005919B4" w:rsidP="00DF7E06">
            <w:pPr>
              <w:spacing w:before="120" w:after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6CB" w:rsidRPr="008F2C27">
              <w:rPr>
                <w:rFonts w:asciiTheme="minorHAnsi" w:hAnsiTheme="minorHAnsi" w:cstheme="minorHAnsi"/>
                <w:sz w:val="18"/>
                <w:szCs w:val="18"/>
              </w:rPr>
              <w:t>Ná</w:t>
            </w:r>
            <w:r w:rsidR="00DA52C7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zev projektu / </w:t>
            </w:r>
            <w:proofErr w:type="spellStart"/>
            <w:r w:rsidR="00DA350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Tytuł</w:t>
            </w:r>
            <w:proofErr w:type="spellEnd"/>
            <w:r w:rsidR="00DA350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</w:t>
            </w:r>
            <w:r w:rsidR="00DA350D" w:rsidRPr="00D92503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39060E" w:rsidRPr="008F2C27" w14:paraId="6D45F773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7176952E" w14:textId="77777777" w:rsidR="0039060E" w:rsidRPr="008F2C27" w:rsidRDefault="00267524" w:rsidP="00267524">
                  <w:pPr>
                    <w:tabs>
                      <w:tab w:val="left" w:pos="1047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032ECCA" w14:textId="77BEB9C2" w:rsidR="0039060E" w:rsidRPr="00D92503" w:rsidRDefault="00F0735E" w:rsidP="0039060E">
            <w:pPr>
              <w:spacing w:before="120" w:after="0"/>
              <w:jc w:val="left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Žadatel/</w:t>
            </w:r>
            <w:r w:rsidR="00FF5C3A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6CB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Vedoucí partner (Partner) </w:t>
            </w:r>
            <w:r w:rsidR="002A76CB" w:rsidRPr="00D92503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/</w:t>
            </w:r>
            <w:r w:rsidR="002A76CB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A350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="00DA350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/Partner </w:t>
            </w:r>
            <w:proofErr w:type="spellStart"/>
            <w:r w:rsidR="00DA350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wiodący</w:t>
            </w:r>
            <w:proofErr w:type="spellEnd"/>
            <w:r w:rsidR="00DA350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(Partner):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650F65B0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2CB2DE85" w14:textId="77777777" w:rsidR="0039060E" w:rsidRPr="008F2C27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ABCF4D2" w14:textId="77777777" w:rsidR="002C416C" w:rsidRPr="008F2C27" w:rsidRDefault="002A76CB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7F8B" w:rsidRPr="008F2C27">
              <w:rPr>
                <w:rFonts w:asciiTheme="minorHAnsi" w:hAnsiTheme="minorHAnsi" w:cstheme="minorHAnsi"/>
                <w:sz w:val="18"/>
                <w:szCs w:val="18"/>
              </w:rPr>
              <w:t>Identifikační číslo proj</w:t>
            </w:r>
            <w:r w:rsidR="002C416C" w:rsidRPr="008F2C27">
              <w:rPr>
                <w:rFonts w:asciiTheme="minorHAnsi" w:hAnsiTheme="minorHAnsi" w:cstheme="minorHAnsi"/>
                <w:sz w:val="18"/>
                <w:szCs w:val="18"/>
              </w:rPr>
              <w:t>ektu</w:t>
            </w:r>
            <w:r w:rsidR="009A7EC2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9A7EC2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Numer </w:t>
            </w:r>
            <w:proofErr w:type="spellStart"/>
            <w:r w:rsidR="00CC7F8B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identyfikacyjny</w:t>
            </w:r>
            <w:proofErr w:type="spellEnd"/>
            <w:r w:rsidR="001C6E5F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r w:rsidR="009A7EC2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projektu</w:t>
            </w:r>
            <w:r w:rsidR="005563F1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:</w:t>
            </w:r>
            <w:r w:rsidR="005563F1" w:rsidRPr="00D92503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13D23B79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5E08D4A2" w14:textId="3ACC1F51" w:rsidR="0039060E" w:rsidRPr="008F2C27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34044A9" w14:textId="1EFF6E2C" w:rsidR="0039060E" w:rsidRPr="008F2C27" w:rsidRDefault="00DA350D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Typ projektu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Typ projektu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18"/>
              <w:gridCol w:w="4423"/>
            </w:tblGrid>
            <w:tr w:rsidR="003F27D9" w:rsidRPr="008F2C27" w14:paraId="0E2DC37A" w14:textId="77777777" w:rsidTr="003F27D9">
              <w:tc>
                <w:tcPr>
                  <w:tcW w:w="4418" w:type="dxa"/>
                  <w:shd w:val="clear" w:color="auto" w:fill="BFBFBF" w:themeFill="background1" w:themeFillShade="BF"/>
                </w:tcPr>
                <w:p w14:paraId="572578B6" w14:textId="463E8115" w:rsidR="003F27D9" w:rsidRPr="003B4817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zjednodušené metody vykazování / </w:t>
                  </w:r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 xml:space="preserve">Typ </w:t>
                  </w:r>
                  <w:proofErr w:type="spellStart"/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>uproszczonej</w:t>
                  </w:r>
                  <w:proofErr w:type="spellEnd"/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 xml:space="preserve"> metody </w:t>
                  </w:r>
                  <w:proofErr w:type="spellStart"/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>rozliczania</w:t>
                  </w:r>
                  <w:proofErr w:type="spellEnd"/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>wydatków</w:t>
                  </w:r>
                  <w:proofErr w:type="spellEnd"/>
                </w:p>
              </w:tc>
              <w:tc>
                <w:tcPr>
                  <w:tcW w:w="4423" w:type="dxa"/>
                  <w:shd w:val="clear" w:color="auto" w:fill="BFBFBF" w:themeFill="background1" w:themeFillShade="BF"/>
                </w:tcPr>
                <w:p w14:paraId="5394CA9D" w14:textId="6AF0CE60" w:rsidR="003F27D9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Style w:val="Styl6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projektu / </w:t>
                  </w:r>
                  <w:r w:rsidR="003B4817"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>T</w:t>
                  </w:r>
                  <w:r w:rsidRPr="00D92503">
                    <w:rPr>
                      <w:rFonts w:asciiTheme="minorHAnsi" w:hAnsiTheme="minorHAnsi" w:cstheme="minorHAnsi"/>
                      <w:i/>
                      <w:iCs/>
                      <w:color w:val="2E74B5" w:themeColor="accent1" w:themeShade="BF"/>
                      <w:sz w:val="18"/>
                      <w:szCs w:val="18"/>
                    </w:rPr>
                    <w:t>yp projektu</w:t>
                  </w:r>
                </w:p>
              </w:tc>
            </w:tr>
            <w:tr w:rsidR="00921D95" w:rsidRPr="008F2C27" w14:paraId="41475161" w14:textId="77777777" w:rsidTr="00921D95">
              <w:tc>
                <w:tcPr>
                  <w:tcW w:w="4418" w:type="dxa"/>
                  <w:shd w:val="clear" w:color="auto" w:fill="FFFFFF" w:themeFill="background1"/>
                </w:tcPr>
                <w:p w14:paraId="5396C79B" w14:textId="7A6A608B" w:rsidR="00921D95" w:rsidRPr="008F2C27" w:rsidRDefault="004C4D1B" w:rsidP="00921D95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Style w:val="Styl6"/>
                      </w:rPr>
                      <w:id w:val="-290063215"/>
                      <w:placeholder>
                        <w:docPart w:val="DefaultPlaceholder_-1854013438"/>
                      </w:placeholder>
                      <w:dropDownList>
                        <w:listItem w:displayText="Malé projekty zaměřené na drobnou infrastrukturu v cestovním ruchu" w:value="Malé projekty zaměřené na drobnou infrastrukturu v cestovním ruchu"/>
                        <w:listItem w:displayText="Małe projekty nastawione na małą infrastrukturę w turystyce" w:value="Małe projekty nastawione na małą infrastrukturę w turystyce"/>
                        <w:listItem w:displayText="Ostatní malé projekty" w:value="Ostatní malé projekty"/>
                        <w:listItem w:displayText="Pozostałe małe projekty" w:value="Pozostałe małe projekty"/>
                      </w:dropDownList>
                    </w:sdtPr>
                    <w:sdtEndPr>
                      <w:rPr>
                        <w:rStyle w:val="Styl6"/>
                      </w:rPr>
                    </w:sdtEndPr>
                    <w:sdtContent>
                      <w:r w:rsidR="003136B6">
                        <w:rPr>
                          <w:rStyle w:val="Styl6"/>
                        </w:rPr>
                        <w:t>Malé projekty zaměřené na drobnou infrastrukturu v cestovním ruchu</w:t>
                      </w:r>
                    </w:sdtContent>
                  </w:sdt>
                  <w:r w:rsidR="00921D95">
                    <w:rPr>
                      <w:rStyle w:val="Styl1"/>
                    </w:rPr>
                    <w:tab/>
                  </w:r>
                  <w:r w:rsidR="00921D95">
                    <w:rPr>
                      <w:rStyle w:val="Styl1"/>
                    </w:rPr>
                    <w:tab/>
                  </w:r>
                </w:p>
              </w:tc>
              <w:tc>
                <w:tcPr>
                  <w:tcW w:w="4423" w:type="dxa"/>
                  <w:shd w:val="clear" w:color="auto" w:fill="FFFFFF" w:themeFill="background1"/>
                </w:tcPr>
                <w:p w14:paraId="5A7478B3" w14:textId="77777777" w:rsidR="00921D95" w:rsidRPr="008F2C27" w:rsidRDefault="004C4D1B" w:rsidP="00921D95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Style w:val="Styl6"/>
                      </w:rPr>
                      <w:id w:val="-927113943"/>
                      <w:placeholder>
                        <w:docPart w:val="DefaultPlaceholder_1081868575"/>
                      </w:placeholder>
                      <w:dropDownList>
                        <w:listItem w:displayText="Projekty samostatně realizované" w:value="Projekty samostatně realizované"/>
                        <w:listItem w:displayText="Projekty realizowany samodzielnie" w:value="Projekty realizowany samodzielnie"/>
                        <w:listItem w:displayText="Projekty s Vedoucím partnerem" w:value="Projekty s Vedoucím partnerem"/>
                        <w:listItem w:displayText="Projekty z Partnerem Wiodącym" w:value="Projekty z Partnerem Wiodącym"/>
                      </w:dropDownList>
                    </w:sdtPr>
                    <w:sdtEndPr>
                      <w:rPr>
                        <w:rStyle w:val="Styl6"/>
                      </w:rPr>
                    </w:sdtEndPr>
                    <w:sdtContent>
                      <w:r w:rsidR="00921D95">
                        <w:rPr>
                          <w:rStyle w:val="Styl6"/>
                        </w:rPr>
                        <w:t>Projekty s Vedoucím partnerem</w:t>
                      </w:r>
                    </w:sdtContent>
                  </w:sdt>
                </w:p>
              </w:tc>
            </w:tr>
          </w:tbl>
          <w:p w14:paraId="6809D4B9" w14:textId="77777777" w:rsidR="0039060E" w:rsidRPr="008F2C27" w:rsidRDefault="0039060E" w:rsidP="0039060E">
            <w:pPr>
              <w:spacing w:before="120"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67077" w:rsidRPr="008F2C27" w14:paraId="45E55890" w14:textId="77777777" w:rsidTr="00965F0E">
        <w:trPr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155CD" w14:textId="3A53AF47" w:rsidR="002C416C" w:rsidRPr="008F2C27" w:rsidRDefault="005057E4" w:rsidP="003C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C070F3"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Kontrola Formálních náležitostí </w:t>
            </w:r>
            <w:r w:rsidR="002C416C"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2E74B5" w:themeColor="accent1" w:themeShade="BF"/>
                <w:sz w:val="18"/>
                <w:szCs w:val="18"/>
              </w:rPr>
              <w:t>Lista sprawdzająca</w:t>
            </w:r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  <w:t xml:space="preserve"> Kontrola </w:t>
            </w:r>
            <w:proofErr w:type="spellStart"/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  <w:t>wymogów</w:t>
            </w:r>
            <w:proofErr w:type="spellEnd"/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  <w:t>formalnych</w:t>
            </w:r>
            <w:proofErr w:type="spellEnd"/>
          </w:p>
        </w:tc>
      </w:tr>
      <w:tr w:rsidR="00167077" w:rsidRPr="008F2C27" w14:paraId="4D3E0857" w14:textId="77777777" w:rsidTr="00BA442C">
        <w:trPr>
          <w:jc w:val="center"/>
        </w:trPr>
        <w:tc>
          <w:tcPr>
            <w:tcW w:w="1298" w:type="dxa"/>
            <w:shd w:val="clear" w:color="auto" w:fill="D9D9D9"/>
          </w:tcPr>
          <w:p w14:paraId="0A8363E8" w14:textId="77777777" w:rsidR="002C416C" w:rsidRPr="008F2C27" w:rsidRDefault="002B019D" w:rsidP="002B019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č./</w:t>
            </w:r>
            <w:proofErr w:type="spellStart"/>
            <w:r w:rsidRPr="000C7DAE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789" w:type="dxa"/>
            <w:shd w:val="clear" w:color="auto" w:fill="D9D9D9"/>
          </w:tcPr>
          <w:p w14:paraId="6D9C7BB8" w14:textId="77777777" w:rsidR="002C416C" w:rsidRPr="008F2C27" w:rsidRDefault="002C416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D92503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Kritéria /</w:t>
            </w: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C7DAE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92" w:type="dxa"/>
            <w:shd w:val="clear" w:color="auto" w:fill="D9D9D9"/>
            <w:vAlign w:val="center"/>
          </w:tcPr>
          <w:p w14:paraId="274323C7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Cs/>
                <w:sz w:val="18"/>
                <w:szCs w:val="18"/>
              </w:rPr>
              <w:t>ANO/</w:t>
            </w:r>
            <w:r w:rsidRPr="000C7DAE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93" w:type="dxa"/>
            <w:gridSpan w:val="2"/>
            <w:shd w:val="clear" w:color="auto" w:fill="D9D9D9"/>
            <w:vAlign w:val="center"/>
          </w:tcPr>
          <w:p w14:paraId="55C04C5A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Cs/>
                <w:sz w:val="18"/>
                <w:szCs w:val="18"/>
              </w:rPr>
              <w:t>NE/</w:t>
            </w:r>
            <w:r w:rsidRPr="000C7DAE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167077" w:rsidRPr="008F2C27" w14:paraId="4C2E279C" w14:textId="77777777" w:rsidTr="00BA442C">
        <w:trPr>
          <w:trHeight w:val="1068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FD2BDCE" w14:textId="77777777" w:rsidR="002B019D" w:rsidRPr="008F2C27" w:rsidRDefault="00B55CC5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Zaškrtávací1" w:colFirst="0" w:colLast="0"/>
            <w:bookmarkStart w:id="1" w:name="Zaškrtávací7"/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B019D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2C87DA0" w14:textId="47D8A6C6" w:rsidR="009A3967" w:rsidRPr="008F2C27" w:rsidRDefault="00993D33" w:rsidP="00EA1215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</w:t>
            </w:r>
            <w:proofErr w:type="spellStart"/>
            <w:r w:rsidRPr="008F2C27">
              <w:rPr>
                <w:rFonts w:asciiTheme="minorHAnsi" w:eastAsia="Calibri" w:hAnsiTheme="minorHAnsi" w:cstheme="minorHAnsi"/>
                <w:sz w:val="18"/>
                <w:szCs w:val="18"/>
              </w:rPr>
              <w:t>rojektová</w:t>
            </w:r>
            <w:proofErr w:type="spellEnd"/>
            <w:r w:rsidRPr="008F2C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žádost (příloha v systému PDF) je podepsána platným elektronickým podpisem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583B4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statutárních zástupců/zástupce vedoucího partnera nebo osoby zmocněné k jejich zastupování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/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Wniosek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projektowy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(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załącznik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PDF w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systemie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) jest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podpisany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ważnym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podpisem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elektronicznym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przedstawiciela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/i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statutowego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/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ych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partnera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wiodącego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lub osoby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upoważnionej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do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ich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reprezentowania</w:t>
            </w:r>
            <w:proofErr w:type="spellEnd"/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0882B48" w14:textId="77777777" w:rsidR="002B019D" w:rsidRPr="008F2C27" w:rsidRDefault="00EA1215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2" w:name="Zaškrtávací8"/>
        <w:tc>
          <w:tcPr>
            <w:tcW w:w="882" w:type="dxa"/>
            <w:shd w:val="clear" w:color="auto" w:fill="auto"/>
            <w:vAlign w:val="center"/>
          </w:tcPr>
          <w:p w14:paraId="12F13FED" w14:textId="77777777" w:rsidR="002B019D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8F2C27" w:rsidRPr="008F2C27" w14:paraId="57F9FCD0" w14:textId="77777777" w:rsidTr="00D92503">
        <w:trPr>
          <w:trHeight w:val="736"/>
          <w:jc w:val="center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27493" w14:textId="77777777" w:rsidR="008F2C27" w:rsidRPr="008F2C27" w:rsidRDefault="008F2C27" w:rsidP="008F2C2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EA44" w14:textId="162EB1D3" w:rsidR="008F2C27" w:rsidRPr="008F2C27" w:rsidRDefault="00993D33" w:rsidP="00042B43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Jedná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se </w:t>
            </w:r>
            <w:r w:rsidRPr="008F2C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o vhodného žadatele</w:t>
            </w:r>
            <w:r w:rsidR="00F47A9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r w:rsidR="00F47A97" w:rsidRPr="006157FF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nebo jeho partnera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.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Wnioskodawca jest kwalifikowalny.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1BC0" w14:textId="77777777" w:rsidR="008F2C27" w:rsidRPr="008F2C27" w:rsidRDefault="008F2C27" w:rsidP="008F2C2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B87EA" w14:textId="77777777" w:rsidR="008F2C27" w:rsidRPr="008F2C27" w:rsidRDefault="008F2C27" w:rsidP="008F2C2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A442C" w:rsidRPr="008F2C27" w14:paraId="5F5F9B42" w14:textId="77777777" w:rsidTr="00D92503">
        <w:trPr>
          <w:trHeight w:val="846"/>
          <w:jc w:val="center"/>
        </w:trPr>
        <w:tc>
          <w:tcPr>
            <w:tcW w:w="1298" w:type="dxa"/>
            <w:shd w:val="clear" w:color="auto" w:fill="FFFFFF" w:themeFill="background1"/>
            <w:vAlign w:val="center"/>
          </w:tcPr>
          <w:p w14:paraId="7B0D04DB" w14:textId="6B8E6DCD" w:rsidR="00BA442C" w:rsidRDefault="00BA442C" w:rsidP="00BA442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3D804610" w14:textId="21F94F73" w:rsidR="00BA442C" w:rsidRPr="00C73FBE" w:rsidRDefault="005B6434" w:rsidP="000230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Nepřekračuje rozpočet stanovené limity (viz kap. </w:t>
            </w:r>
            <w:r w:rsidR="005A3222" w:rsidRPr="00F96728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1.6 </w:t>
            </w:r>
            <w:r w:rsidRPr="00F96728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r w:rsidR="00096310" w:rsidRPr="00F96728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Směrnice pro žadatele</w:t>
            </w:r>
            <w:r w:rsidRPr="00F96728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).</w:t>
            </w:r>
            <w:r w:rsidR="003B4817" w:rsidRPr="00F96728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/ </w:t>
            </w:r>
            <w:r w:rsidR="003B4817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 xml:space="preserve">Budżet nie przekracza określonego progu (patrz rozdz. </w:t>
            </w:r>
            <w:r w:rsidR="005A3222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1.6</w:t>
            </w:r>
            <w:r w:rsidR="003B4817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 xml:space="preserve"> </w:t>
            </w:r>
            <w:r w:rsidR="00096310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Wytyczne dla wnioskodawcy</w:t>
            </w:r>
            <w:r w:rsidR="003B4817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)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7D0C9B11" w14:textId="22DCA38F" w:rsidR="00BA442C" w:rsidRPr="008F2C27" w:rsidRDefault="00BA442C" w:rsidP="00BA442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7A5D169" w14:textId="057B6C23" w:rsidR="00BA442C" w:rsidRPr="008F2C27" w:rsidRDefault="00BA442C" w:rsidP="00BA442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B6434" w:rsidRPr="008F2C27" w14:paraId="1504B6D2" w14:textId="77777777" w:rsidTr="00D92503">
        <w:trPr>
          <w:trHeight w:val="688"/>
          <w:jc w:val="center"/>
        </w:trPr>
        <w:tc>
          <w:tcPr>
            <w:tcW w:w="1298" w:type="dxa"/>
            <w:shd w:val="clear" w:color="auto" w:fill="FFFFFF" w:themeFill="background1"/>
            <w:vAlign w:val="center"/>
          </w:tcPr>
          <w:p w14:paraId="5FF73FBF" w14:textId="38E41F19" w:rsidR="005B6434" w:rsidRDefault="005B6434" w:rsidP="00C73FB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73F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2B557EFE" w14:textId="7469BDAD" w:rsidR="005B6434" w:rsidRPr="00C73FBE" w:rsidRDefault="005B6434" w:rsidP="000230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Byla zvolena správná metoda ZMV.</w:t>
            </w:r>
            <w:r w:rsidR="003B4817" w:rsidRPr="00C73FBE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/ </w:t>
            </w:r>
            <w:r w:rsidR="003B4817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Wybrano prawidłową metodę UMR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09F5B2BD" w14:textId="373CA9B8" w:rsidR="005B6434" w:rsidRPr="008F2C27" w:rsidRDefault="005B6434" w:rsidP="005B6434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1D6B5AF" w14:textId="2D47B8E2" w:rsidR="005B6434" w:rsidRPr="008F2C27" w:rsidRDefault="005B6434" w:rsidP="005B6434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4FC" w:rsidRPr="008F2C27" w14:paraId="5FF43932" w14:textId="77777777" w:rsidTr="00D92503">
        <w:trPr>
          <w:trHeight w:val="854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C64AB7A" w14:textId="17F658E8" w:rsidR="004A44FC" w:rsidRPr="008F2C27" w:rsidRDefault="005B6434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A44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D134116" w14:textId="1FA996F3" w:rsidR="004A44FC" w:rsidRPr="008F2C27" w:rsidRDefault="00993D33" w:rsidP="004A44FC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6C79F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V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projektové </w:t>
            </w:r>
            <w:r w:rsidRPr="006C79F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žádosti jsou vyplněna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r w:rsidRPr="00A85D2A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dvojjazyčně</w:t>
            </w:r>
            <w:r w:rsidRPr="006C79F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všechna relevantní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pole.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We wniosku projektowym wypełniono w dwóch językach wszystkie odpowiednie pola.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6B4B3B2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D5E912C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4FC" w:rsidRPr="008F2C27" w14:paraId="12A648C9" w14:textId="77777777" w:rsidTr="00BA442C">
        <w:trPr>
          <w:trHeight w:val="1070"/>
          <w:jc w:val="center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28E1" w14:textId="5E8F15FC" w:rsidR="004A44FC" w:rsidRPr="008F2C27" w:rsidRDefault="005B6434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4A44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00EE" w14:textId="618059BE" w:rsidR="004A44FC" w:rsidRPr="008F2C27" w:rsidRDefault="00993D33" w:rsidP="004A44FC">
            <w:pPr>
              <w:pStyle w:val="Default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Jsou předloženy všechny požadované přílohy a splňují formální požadavky na úplnost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(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Ž</w:t>
            </w:r>
            <w:r w:rsidRPr="009C185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adatel/partneři předložili všechny požadované přílohy a splňují formální požadavky na úplnost, které vyplývají z charakteru projektu či typu žadatele/partnera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.).</w:t>
            </w:r>
            <w:r w:rsidRPr="00CC66D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Złożono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wszystkie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wymagane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załączniki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spełniają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one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wymogi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formalne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zakresie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kompletności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(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/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partnerzy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złożyli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wszystkie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wymagane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załączniki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spełniają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one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wymogi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formalne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zakresie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kompletności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wynikające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z charakteru projektu lub typu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wnioskodawcy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/partnera).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45EFD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CD00C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3647" w:rsidRPr="008F2C27" w14:paraId="2B377BA2" w14:textId="77777777" w:rsidTr="00214FB3">
        <w:trPr>
          <w:trHeight w:val="1070"/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FE35" w14:textId="77777777" w:rsidR="000C3647" w:rsidRDefault="000C3647" w:rsidP="000C3647">
            <w:p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C3647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D92503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Komentarz</w:t>
            </w:r>
            <w:proofErr w:type="spellEnd"/>
            <w:r w:rsidRPr="00D92503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:</w:t>
            </w:r>
          </w:p>
          <w:p w14:paraId="17644059" w14:textId="77777777" w:rsidR="000230B3" w:rsidRDefault="000230B3" w:rsidP="000C3647">
            <w:p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B88E4B" w14:textId="1D03643F" w:rsidR="000C3647" w:rsidRPr="008F2C27" w:rsidRDefault="000C3647" w:rsidP="00D92503">
            <w:p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48BD" w:rsidRPr="008F2C27" w14:paraId="739C56CC" w14:textId="77777777" w:rsidTr="00144A00">
        <w:trPr>
          <w:trHeight w:val="517"/>
          <w:jc w:val="center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1042F421" w14:textId="21FDBF83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CHECK LIST Kontrola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Přijatelnosti</w:t>
            </w: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 </w:t>
            </w:r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2E74B5" w:themeColor="accent1" w:themeShade="BF"/>
                <w:sz w:val="18"/>
                <w:szCs w:val="18"/>
              </w:rPr>
              <w:t>Lista sprawdzająca</w:t>
            </w:r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  <w:t xml:space="preserve"> Kontrola </w:t>
            </w:r>
            <w:proofErr w:type="spellStart"/>
            <w:r w:rsidR="00993D33" w:rsidRPr="00D92503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  <w:t>kwalifikowalności</w:t>
            </w:r>
            <w:proofErr w:type="spellEnd"/>
          </w:p>
        </w:tc>
      </w:tr>
      <w:tr w:rsidR="009048BD" w:rsidRPr="008F2C27" w14:paraId="27FBE185" w14:textId="77777777" w:rsidTr="00D92503">
        <w:trPr>
          <w:trHeight w:val="282"/>
          <w:jc w:val="center"/>
        </w:trPr>
        <w:tc>
          <w:tcPr>
            <w:tcW w:w="1298" w:type="dxa"/>
            <w:shd w:val="clear" w:color="auto" w:fill="D9D9D9" w:themeFill="background1" w:themeFillShade="D9"/>
          </w:tcPr>
          <w:p w14:paraId="4FBAD4E2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D92503">
              <w:rPr>
                <w:rFonts w:ascii="Calibri" w:hAnsi="Calibri" w:cs="Calibri"/>
                <w:bCs/>
                <w:iCs/>
                <w:sz w:val="18"/>
                <w:szCs w:val="18"/>
              </w:rPr>
              <w:t>č./</w:t>
            </w:r>
            <w:proofErr w:type="spellStart"/>
            <w:r w:rsidRPr="00830EFC">
              <w:rPr>
                <w:rFonts w:ascii="Calibri" w:hAnsi="Calibri" w:cs="Calibri"/>
                <w:bCs/>
                <w:i/>
                <w:color w:val="0070C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789" w:type="dxa"/>
            <w:shd w:val="clear" w:color="auto" w:fill="D9D9D9" w:themeFill="background1" w:themeFillShade="D9"/>
          </w:tcPr>
          <w:p w14:paraId="4D85B6D8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D92503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Kritéria /</w:t>
            </w: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103" w:type="dxa"/>
            <w:gridSpan w:val="2"/>
            <w:shd w:val="clear" w:color="auto" w:fill="D9D9D9" w:themeFill="background1" w:themeFillShade="D9"/>
            <w:vAlign w:val="center"/>
          </w:tcPr>
          <w:p w14:paraId="1DC46705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Cs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2B0E989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Cs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630AC3" w:rsidRPr="008F2C27" w14:paraId="12D544BE" w14:textId="77777777" w:rsidTr="00BA442C">
        <w:trPr>
          <w:trHeight w:val="1070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507805D" w14:textId="77777777" w:rsidR="00630AC3" w:rsidRPr="008F2C27" w:rsidRDefault="00630AC3" w:rsidP="00630AC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BD4297C" w14:textId="0372C852" w:rsidR="00630AC3" w:rsidRPr="00630AC3" w:rsidRDefault="00135DB4" w:rsidP="00594E5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30AC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svým zaměřením naplňuje minimálně jeden z cílů FMP v Euroregionu </w:t>
            </w:r>
            <w:r w:rsidR="005A3222" w:rsidRPr="00F96728">
              <w:rPr>
                <w:rFonts w:asciiTheme="minorHAnsi" w:hAnsiTheme="minorHAnsi" w:cstheme="minorHAnsi"/>
                <w:noProof/>
                <w:sz w:val="18"/>
                <w:szCs w:val="18"/>
              </w:rPr>
              <w:t>Praděd</w:t>
            </w:r>
            <w:r w:rsidRPr="00F96728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Pr="00F9672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Projekt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swoim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zakresem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wpisuje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się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gram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</w:t>
            </w:r>
            <w:proofErr w:type="gram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co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najmniej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jeden cel FMP w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Euroregionie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r w:rsidR="005A3222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Praděd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5482847" w14:textId="77777777" w:rsidR="00630AC3" w:rsidRPr="008F2C27" w:rsidRDefault="00630AC3" w:rsidP="00630AC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C3E0868" w14:textId="77777777" w:rsidR="00630AC3" w:rsidRPr="008F2C27" w:rsidRDefault="00630AC3" w:rsidP="00630AC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0"/>
      <w:bookmarkEnd w:id="1"/>
      <w:tr w:rsidR="00167077" w:rsidRPr="008F2C27" w14:paraId="219EFAC8" w14:textId="77777777" w:rsidTr="00D92503">
        <w:trPr>
          <w:trHeight w:val="1315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1ABAE107" w14:textId="77777777" w:rsidR="002C416C" w:rsidRPr="008F2C27" w:rsidRDefault="00033058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C416C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E577F45" w14:textId="6EF4F27A" w:rsidR="00DB05E1" w:rsidRPr="00415C00" w:rsidRDefault="00135DB4" w:rsidP="0003305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Žadatel/</w:t>
            </w:r>
            <w:r w:rsidRPr="00033058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Vedoucí partner má minimálně 1 partnera na druhé straně hranice (netýká se Evropského seskupení pro územní spolupráci) a všichni partneři jsou způsobilí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033058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/ </w:t>
            </w: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Wnioskodawca/Partner wiodący ma co najmniej 1 partnera po drugiej stronie granicy (nie dotyczy europejskiego ugrupowania współpracy terytorialnej) i wszyscy partnerzy są kwalifikowalni.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DBA369C" w14:textId="77777777" w:rsidR="002C416C" w:rsidRPr="008F2C27" w:rsidRDefault="00E97FE2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bookmarkStart w:id="4" w:name="Zaškrtávací11"/>
        <w:tc>
          <w:tcPr>
            <w:tcW w:w="882" w:type="dxa"/>
            <w:shd w:val="clear" w:color="auto" w:fill="auto"/>
            <w:vAlign w:val="center"/>
          </w:tcPr>
          <w:p w14:paraId="7BCDCF84" w14:textId="77777777" w:rsidR="002C416C" w:rsidRPr="008F2C27" w:rsidRDefault="002C416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167077" w:rsidRPr="008F2C27" w14:paraId="1AFB0D07" w14:textId="77777777" w:rsidTr="00D92503">
        <w:trPr>
          <w:trHeight w:val="1263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6B079FFF" w14:textId="77777777" w:rsidR="00B94315" w:rsidRPr="008F2C27" w:rsidRDefault="0092634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94315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E91F592" w14:textId="61CA4862" w:rsidR="00613EC7" w:rsidRPr="00415C00" w:rsidRDefault="00040F95" w:rsidP="00042B4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</w:t>
            </w:r>
            <w:r w:rsidR="00DB4E6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splňuje 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alespoň 3 ze 4 kritérií  přeshraniční spolupráce (u projektů s vedoucím partn</w:t>
            </w:r>
            <w:r w:rsidR="00DB4E69">
              <w:rPr>
                <w:rFonts w:asciiTheme="minorHAnsi" w:hAnsiTheme="minorHAnsi" w:cstheme="minorHAnsi"/>
                <w:noProof/>
                <w:sz w:val="18"/>
                <w:szCs w:val="18"/>
              </w:rPr>
              <w:t>e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rem jsou </w:t>
            </w:r>
            <w:r w:rsidR="00DB4E6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splněna 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všechna 4 kritéria)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. / </w:t>
            </w:r>
            <w:r w:rsidR="00DB4E69"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Projekt spełnia </w:t>
            </w: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co najmniej 3 z 4 kryteriów współpracy transgranicznej (w przypadku projektów z partnerem wiodącym </w:t>
            </w:r>
            <w:r w:rsidR="00DB4E69"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 spełnione</w:t>
            </w:r>
            <w:r w:rsidR="000C3647"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są </w:t>
            </w: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wszystkie 4 kryteria).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086A64C" w14:textId="77777777" w:rsidR="00B94315" w:rsidRPr="008F2C27" w:rsidRDefault="001D3E2D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8A69DA8" w14:textId="77777777" w:rsidR="00B94315" w:rsidRPr="008F2C27" w:rsidRDefault="00B94315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7077" w:rsidRPr="008F2C27" w14:paraId="60D57C02" w14:textId="77777777" w:rsidTr="00D92503">
        <w:trPr>
          <w:trHeight w:val="1126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C2F7499" w14:textId="77777777" w:rsidR="00B94315" w:rsidRPr="008F2C27" w:rsidRDefault="0092634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94315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398EE1F" w14:textId="36208F2D" w:rsidR="00613EC7" w:rsidRPr="00415C00" w:rsidRDefault="00040F95" w:rsidP="00C80FC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neodporuje  příslušné legislativě (národní, EU)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-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/ </w:t>
            </w: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Projekt nie jest sprzeczny z właściwymi przepisami prawa (krajowego, unijnego) - na podstawie załączonego oświadczenia.</w:t>
            </w:r>
            <w:r w:rsidRPr="00D92503">
              <w:rPr>
                <w:rFonts w:asciiTheme="minorHAnsi" w:hAnsiTheme="minorHAnsi" w:cstheme="minorHAnsi"/>
                <w:noProof/>
                <w:color w:val="2E74B5" w:themeColor="accent1" w:themeShade="BF"/>
                <w:sz w:val="18"/>
                <w:szCs w:val="18"/>
              </w:rPr>
              <w:t xml:space="preserve">  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0CF3DB41" w14:textId="77777777" w:rsidR="00B94315" w:rsidRPr="008F2C27" w:rsidRDefault="00C80FC6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22F04BD" w14:textId="77777777" w:rsidR="00B94315" w:rsidRPr="008F2C27" w:rsidRDefault="00B94315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80FC6" w:rsidRPr="008F2C27" w14:paraId="69E03FB4" w14:textId="77777777" w:rsidTr="00D92503">
        <w:trPr>
          <w:trHeight w:val="3254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79033F27" w14:textId="77777777" w:rsidR="00C80FC6" w:rsidRPr="008F2C27" w:rsidRDefault="00B62AA6" w:rsidP="00C80FC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80FC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1A327C2" w14:textId="77777777" w:rsidR="00040F95" w:rsidRPr="00C80FC6" w:rsidRDefault="00040F95" w:rsidP="000230B3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nemá dvojí financování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- </w:t>
            </w:r>
          </w:p>
          <w:p w14:paraId="5B391358" w14:textId="77777777" w:rsidR="00040F95" w:rsidRDefault="00040F95" w:rsidP="000230B3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37A7F6F4" w14:textId="77777777" w:rsidR="00040F95" w:rsidRPr="00C80FC6" w:rsidRDefault="00040F95" w:rsidP="000230B3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projektu nepodílí prostředky z jiného programu financovaného z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 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EU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41B9BC44" w14:textId="77777777" w:rsidR="00040F95" w:rsidRDefault="00040F95" w:rsidP="00D9250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výdaje refundované z ERDF a státního rozpočtu ČR a PR nebyl přiznán žádný jiný finanční příspěvek z národních veřejných zdrojů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/ </w:t>
            </w:r>
          </w:p>
          <w:p w14:paraId="0D785D70" w14:textId="77777777" w:rsidR="00040F95" w:rsidRPr="00D92503" w:rsidRDefault="00040F95" w:rsidP="00D92503">
            <w:pPr>
              <w:pStyle w:val="Default"/>
              <w:ind w:left="-57"/>
              <w:jc w:val="both"/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Projekt nie posiada podwójnego finansowania -</w:t>
            </w:r>
          </w:p>
          <w:p w14:paraId="5DA55845" w14:textId="77777777" w:rsidR="00040F95" w:rsidRPr="00D92503" w:rsidRDefault="00040F95" w:rsidP="00D9250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na podstawie załączonego oświadczenia. </w:t>
            </w:r>
          </w:p>
          <w:p w14:paraId="2B382CF4" w14:textId="77777777" w:rsidR="00040F95" w:rsidRPr="00D92503" w:rsidRDefault="00040F95" w:rsidP="00D9250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Projekt nie jest finansowany z żadnego innego programu finansowanego ze środków UE. </w:t>
            </w:r>
          </w:p>
          <w:p w14:paraId="2440DC36" w14:textId="252156F9" w:rsidR="00C80FC6" w:rsidRPr="008F2C27" w:rsidRDefault="00040F95" w:rsidP="000230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Na wydatki refundowane z EFRR i budżetu państwa RCz i PR nie przyznano żadnego innego wkładu finansowego z krajowych źródeł publicznych.</w:t>
            </w:r>
            <w:r w:rsidR="009179D2"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.</w:t>
            </w:r>
            <w:r w:rsidR="00C80FC6" w:rsidRPr="00D92503">
              <w:rPr>
                <w:rFonts w:asciiTheme="minorHAnsi" w:hAnsiTheme="minorHAnsi" w:cstheme="minorHAnsi"/>
                <w:noProof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74CC002" w14:textId="77777777" w:rsidR="00C80FC6" w:rsidRPr="008F2C27" w:rsidRDefault="00C80FC6" w:rsidP="00C80FC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6EF601" w14:textId="77777777" w:rsidR="00C80FC6" w:rsidRPr="008F2C27" w:rsidRDefault="00C80FC6" w:rsidP="00C80FC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95D8D" w:rsidRPr="008F2C27" w14:paraId="5E7E07F8" w14:textId="77777777" w:rsidTr="00BA442C">
        <w:trPr>
          <w:trHeight w:val="87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AF8D732" w14:textId="77777777" w:rsidR="00B95D8D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6BDDB99" w14:textId="77777777" w:rsidR="000230B3" w:rsidRDefault="000230B3" w:rsidP="000230B3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43FAA1C" w14:textId="66B33111" w:rsidR="000230B3" w:rsidRDefault="00B95D8D" w:rsidP="000230B3">
            <w:pPr>
              <w:pStyle w:val="Default"/>
              <w:jc w:val="both"/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</w:pP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>Vedoucí partner i ostatní partneři nemají žádné závazky vůči orgánům veřejné správy po lhůtě splatnosti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- 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 w:rsidR="00042B43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0230B3">
              <w:rPr>
                <w:rFonts w:ascii="Calibri" w:hAnsi="Calibri" w:cs="Calibri"/>
                <w:noProof/>
                <w:sz w:val="18"/>
                <w:szCs w:val="18"/>
              </w:rPr>
              <w:t xml:space="preserve">/ </w:t>
            </w:r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 xml:space="preserve">Partner Wiodący oraz pozostali Partnerzy nie mają żadnych zaległych zobowiązań wobec organów administracji </w:t>
            </w:r>
            <w:proofErr w:type="gram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 xml:space="preserve">publicznej 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- na</w:t>
            </w:r>
            <w:proofErr w:type="gramEnd"/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 </w:t>
            </w:r>
            <w:r w:rsidR="003B4817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podstawie dołączonego Oświadczenia</w:t>
            </w:r>
            <w:r w:rsidR="00042B43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.</w:t>
            </w:r>
          </w:p>
          <w:p w14:paraId="0D31BBF9" w14:textId="1B5650AA" w:rsidR="000230B3" w:rsidRPr="00D92503" w:rsidRDefault="000230B3" w:rsidP="000230B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804FC39" w14:textId="77777777" w:rsidR="00B95D8D" w:rsidRPr="008F2C27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24CFC77" w14:textId="77777777" w:rsidR="00B95D8D" w:rsidRPr="008F2C27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11B16" w:rsidRPr="008F2C27" w14:paraId="0C19C9F3" w14:textId="77777777" w:rsidTr="00BA442C">
        <w:trPr>
          <w:trHeight w:val="87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4048B6A" w14:textId="77777777" w:rsidR="00511B16" w:rsidRPr="008F2C27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3BAA08B" w14:textId="77777777" w:rsidR="00511B16" w:rsidRPr="00D92503" w:rsidRDefault="00511B16" w:rsidP="00CE2922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nemá negativní vliv na životní prostředí</w:t>
            </w:r>
            <w:r w:rsidR="00042B43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CE292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Projekt nie ma negatywnego wpływu na środowisko.</w:t>
            </w:r>
          </w:p>
          <w:p w14:paraId="353C6388" w14:textId="77777777" w:rsidR="000C3647" w:rsidRPr="00D92503" w:rsidRDefault="000C3647" w:rsidP="000C3647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Dle zásady DNSH (Do No Significant Harm), která byla přijata ve snaze podpořit cíle tzv. Zelené dohody pro Evropu, činnosti v rámci realizace projektu negativně neovlivní následující oblasti: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Zgodnie z zasadą DNSH (Do No Significant Harm), która została przyjęta w celu wsparcia celów Zielonego</w:t>
            </w:r>
            <w:r w:rsidRPr="00D92503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  <w:lang w:val="pl-PL"/>
              </w:rPr>
              <w:t xml:space="preserve">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Ładu dla Europy, działania projektu nie będą miały negatywnego wpływu na następujące obszary:</w:t>
            </w:r>
          </w:p>
          <w:p w14:paraId="68C32EDF" w14:textId="77777777" w:rsidR="000C3647" w:rsidRPr="00D92503" w:rsidRDefault="000C3647" w:rsidP="000C3647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>•</w:t>
            </w: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ab/>
              <w:t xml:space="preserve">zmírňování změny klimatu – nesmí vést ke značným emisím skleníkových plynů;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łagodzenie zmian klimatu - nie może prowadzić do znacznych emisji gazów cieplarnianych;</w:t>
            </w:r>
          </w:p>
          <w:p w14:paraId="22EA1261" w14:textId="77777777" w:rsidR="000C3647" w:rsidRPr="00D92503" w:rsidRDefault="000C3647" w:rsidP="000C3647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•</w:t>
            </w: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ab/>
              <w:t xml:space="preserve">adaptace na změnu klimatu - nesmí vést k nárůstu nepříznivého dopadu stávajícího a budoucího klimatu na tuto činnost samotnou nebo na osoby, přírodu nebo aktiva;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adaptacja do zmian klimatu - nie może prowadzić do zwiększenia negatywnego wpływu obecnego i przyszłego klimatu na samą działalność, ludzi, przyrodę lub aktywa;</w:t>
            </w:r>
          </w:p>
          <w:p w14:paraId="08CFE643" w14:textId="77777777" w:rsidR="000C3647" w:rsidRPr="00D92503" w:rsidRDefault="000C3647" w:rsidP="000C3647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•</w:t>
            </w: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ab/>
              <w:t xml:space="preserve">udržitelné využívání a ochrana vodních a mořských zdrojů - nesmí poškozovat dobrý ekologický potenciál vodních útvarů, včetně povrchových a podzemních vod (nebo dobrý stav prostředí mořských vod);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zrównoważone wykorzystanie i ochrona zasobów wodnych i morskich - nie może szkodzić dobremu potencjałowi ekologicznemu jednolitych części wód, w tym wód powierzchniowych i podziemnych (lub dobremu stanowi środowiska wód morskich);</w:t>
            </w:r>
          </w:p>
          <w:p w14:paraId="2AC155B5" w14:textId="77777777" w:rsidR="000C3647" w:rsidRPr="00D92503" w:rsidRDefault="000C3647" w:rsidP="000C3647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•</w:t>
            </w: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ab/>
              <w:t xml:space="preserve">přechod na cirkulární ekonomiku - nesmí vést k významné nehospodárnosti v používání materiálů nebo v přímém a nepřímém využívání přírodních zdrojů, nebo nesmí významně přispívat ke vzniku, spalování nebo odstraňování odpadu, které může způsobit významné a dlouhodobé škody na životním prostředí;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przejście na gospodarkę o obiegu zamkniętym - nie może prowadzić do znacznego marnotrawstwa w wykorzystaniu materiałów lub w bezpośrednim i pośrednim wykorzystaniu zasobów naturalnych, ani przyczyniać się w znacznym stopniu do wytwarzania, spalania lub unieszkodliwiania odpadów, które mogą powodować znaczne i długoterminowe szkody dla środowiska;</w:t>
            </w:r>
          </w:p>
          <w:p w14:paraId="5601D187" w14:textId="77777777" w:rsidR="000C3647" w:rsidRPr="00D92503" w:rsidRDefault="000C3647" w:rsidP="000C3647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•</w:t>
            </w: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ab/>
              <w:t xml:space="preserve">prevence a kontrola znečištění - nesmí významně zvýšit emise znečišťujících látek do ovzduší, vody, nebo krajiny ve srovnání se situací před zahájením činnosti;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zapobieganie zanieczyszczeniom i ich kontrola - nie może znacząco zwiększać emisji zanieczyszczeń do powietrza, wody lub krajobrazu w porównaniu z sytuacją przed rozpoczęciem działalności;</w:t>
            </w:r>
          </w:p>
          <w:p w14:paraId="0EC540F7" w14:textId="7E8B3302" w:rsidR="000C3647" w:rsidRPr="003E369F" w:rsidRDefault="000C3647" w:rsidP="00CE2922">
            <w:pPr>
              <w:spacing w:before="120" w:after="120" w:line="276" w:lineRule="auto"/>
              <w:rPr>
                <w:rFonts w:asciiTheme="minorHAnsi" w:hAnsiTheme="minorHAnsi" w:cstheme="minorHAnsi"/>
                <w:color w:val="0070C0"/>
                <w:sz w:val="18"/>
                <w:szCs w:val="18"/>
                <w:lang w:val="pl-PL"/>
              </w:rPr>
            </w:pP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•</w:t>
            </w:r>
            <w:r w:rsidRPr="00D9250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ab/>
              <w:t xml:space="preserve">ochrana a obnova biodiverzity a ekosystémů - nesmí poškozovat dobrý stav a odolnost ekosystémů nebo poškozovat stav stanovišť a druhů z hlediska jejich ochrany, a to včetně těch, které jsou v zájmu Evropské Unie. / </w:t>
            </w:r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ochrona i odbudowa różnorodności biologicznej i ekosystemów - nie może szkodzić zdrowiu i odporności ekosystemów ani stanowi ochrony siedlisk i gatunków, w tym tych będących przedmiotem zainteresowania Unii Europejskiej.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05A012C" w14:textId="77777777" w:rsidR="00511B16" w:rsidRPr="008F2C27" w:rsidRDefault="00511B16" w:rsidP="00511B1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EBCCB9" w14:textId="77777777" w:rsidR="00511B16" w:rsidRPr="008F2C27" w:rsidRDefault="00511B16" w:rsidP="00511B1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543F" w:rsidRPr="008F2C27" w14:paraId="53E457DE" w14:textId="77777777" w:rsidTr="00BA442C">
        <w:trPr>
          <w:trHeight w:val="87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465229A" w14:textId="77777777" w:rsidR="0004543F" w:rsidRPr="008F2C27" w:rsidRDefault="00B95D8D" w:rsidP="00A21FD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4543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46ED580B" w14:textId="6F5E4E77" w:rsidR="003E369F" w:rsidRDefault="0004543F" w:rsidP="0004543F">
            <w:pPr>
              <w:spacing w:before="120" w:after="12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04543F">
              <w:rPr>
                <w:rFonts w:ascii="Calibri" w:hAnsi="Calibri" w:cs="Calibri"/>
                <w:noProof/>
                <w:sz w:val="18"/>
                <w:szCs w:val="18"/>
              </w:rPr>
              <w:t>Projekt respektuje rovnost mužů a žen a neobsahuje jakékoli prvky diskriminace</w:t>
            </w:r>
            <w:r w:rsidR="00042B43">
              <w:rPr>
                <w:rFonts w:ascii="Calibri" w:hAnsi="Calibri" w:cs="Calibri"/>
                <w:noProof/>
                <w:sz w:val="18"/>
                <w:szCs w:val="18"/>
              </w:rPr>
              <w:t>.</w:t>
            </w:r>
            <w:r w:rsidRPr="0004543F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3F27D9" w:rsidRPr="007069BD">
              <w:rPr>
                <w:rFonts w:ascii="Calibri" w:hAnsi="Calibri" w:cs="Calibri"/>
                <w:noProof/>
                <w:sz w:val="18"/>
                <w:szCs w:val="18"/>
              </w:rPr>
              <w:t>(U polských žadatelů je předloženo prohlášení o nediskriminaci (předepsaný formulář)</w:t>
            </w:r>
          </w:p>
          <w:p w14:paraId="1A577FA1" w14:textId="3225B07F" w:rsidR="0004543F" w:rsidRPr="00D92503" w:rsidRDefault="0004543F" w:rsidP="0004543F">
            <w:pPr>
              <w:spacing w:before="120" w:after="120"/>
              <w:rPr>
                <w:rFonts w:asciiTheme="minorHAnsi" w:hAnsiTheme="minorHAnsi" w:cstheme="minorHAnsi"/>
                <w:i/>
                <w:iCs/>
                <w:noProof/>
                <w:color w:val="0070C0"/>
                <w:sz w:val="18"/>
                <w:szCs w:val="18"/>
              </w:rPr>
            </w:pPr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Projekt respektuje równe szanse kobiet/mężczyzn oraz nie zawiera elementów jakiejkolwiek dyskryminacji.</w:t>
            </w:r>
            <w:r w:rsidR="003F27D9"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 xml:space="preserve"> </w:t>
            </w:r>
            <w:r w:rsidR="003F27D9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(</w:t>
            </w:r>
            <w:r w:rsidR="003B4817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 xml:space="preserve">W przypadku polskich wnioskodawców złożono oświadczenie o </w:t>
            </w:r>
            <w:r w:rsidR="00E0342D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nied</w:t>
            </w:r>
            <w:r w:rsidR="003B4817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yskryminacji (określony z góry formularz</w:t>
            </w:r>
            <w:r w:rsidR="003F27D9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9C810F7" w14:textId="77777777" w:rsidR="0004543F" w:rsidRPr="008F2C27" w:rsidRDefault="0004543F" w:rsidP="0004543F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B3FA686" w14:textId="77777777" w:rsidR="0004543F" w:rsidRPr="008F2C27" w:rsidRDefault="0004543F" w:rsidP="0004543F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135B7" w:rsidRPr="008F2C27" w14:paraId="4C716AFC" w14:textId="77777777" w:rsidTr="00D92503">
        <w:trPr>
          <w:trHeight w:val="3790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7A0BBCC8" w14:textId="77777777" w:rsidR="008135B7" w:rsidRPr="008F2C27" w:rsidRDefault="008135B7" w:rsidP="008135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F563C65" w14:textId="77777777" w:rsidR="008135B7" w:rsidRPr="00245482" w:rsidRDefault="008135B7" w:rsidP="000230B3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bookmarkStart w:id="5" w:name="_Hlk139735144"/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je v souladu s finančními parametry příjmu, ke kterému je předložen.</w:t>
            </w:r>
          </w:p>
          <w:p w14:paraId="205F2226" w14:textId="77777777" w:rsidR="00BA442C" w:rsidRPr="00245482" w:rsidRDefault="008135B7" w:rsidP="000230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Projekt je v souladu s finančními parametry příjmu,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ke kterému je 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předložen. </w:t>
            </w:r>
          </w:p>
          <w:p w14:paraId="1A57AC5C" w14:textId="0C797CA1" w:rsidR="008135B7" w:rsidRPr="00245482" w:rsidRDefault="007069BD" w:rsidP="000230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Je dodržena max.</w:t>
            </w:r>
            <w:r w:rsidR="00BD0B11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výše požadované dotace a výše celkových výdajů projektu.</w:t>
            </w:r>
          </w:p>
          <w:p w14:paraId="285BF0DE" w14:textId="77777777" w:rsidR="003B4817" w:rsidRPr="00245482" w:rsidRDefault="008135B7" w:rsidP="00D9250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působilé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výdaje projektu refundované z ERDF nepřesahují 80 % způsobilých výdajů projektu každého partnera.</w:t>
            </w:r>
            <w:bookmarkEnd w:id="5"/>
            <w:r w:rsidR="003B4817"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/ </w:t>
            </w:r>
          </w:p>
          <w:p w14:paraId="2A978B68" w14:textId="02D45F62" w:rsidR="003B4817" w:rsidRPr="00D92503" w:rsidRDefault="003B4817" w:rsidP="00D92503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Projekt jest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zgodny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z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parametrami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finansowymi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naboru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, w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ramach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którego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został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zgłoszony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  <w:p w14:paraId="12CBEE06" w14:textId="094CA842" w:rsidR="003B4817" w:rsidRPr="00D92503" w:rsidRDefault="003B4817" w:rsidP="00D9250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Projekt jest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zgodny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z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parametrami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finansowymi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naboru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, w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ramach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którego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został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złożony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. </w:t>
            </w:r>
          </w:p>
          <w:p w14:paraId="34771C78" w14:textId="2BAED34D" w:rsidR="003B4817" w:rsidRPr="00D92503" w:rsidRDefault="003B4817" w:rsidP="00D9250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</w:pP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Maksymalne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kwoty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wnioskowanego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dofinansowania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oraz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wartość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całkowitych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wydatków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są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przestrzegane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  <w:p w14:paraId="307C0BB5" w14:textId="00A93354" w:rsidR="008135B7" w:rsidRPr="00415C00" w:rsidRDefault="003B4817" w:rsidP="000230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Kwalifikowalne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wydatki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refundowane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z EFRR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nie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przekraczają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gram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80%</w:t>
            </w:r>
            <w:proofErr w:type="gram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kwalifikowalnych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wydatków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każdego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partnera.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1D9E0C5" w14:textId="77777777" w:rsidR="008135B7" w:rsidRPr="008F2C27" w:rsidRDefault="008135B7" w:rsidP="008135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E909A04" w14:textId="77777777" w:rsidR="008135B7" w:rsidRPr="008F2C27" w:rsidRDefault="008135B7" w:rsidP="008135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06E75" w:rsidRPr="008F2C27" w14:paraId="4B0FAC54" w14:textId="77777777" w:rsidTr="00D92503">
        <w:trPr>
          <w:trHeight w:val="1264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6223617" w14:textId="77777777" w:rsidR="00D06E75" w:rsidRPr="008F2C27" w:rsidRDefault="00D06E75" w:rsidP="00D06E7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DDB21AE" w14:textId="77777777" w:rsidR="00970B41" w:rsidRDefault="00970B41" w:rsidP="00970B41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Výdaje projektu uvedené v žádosti neodporují pravidlům způsobilosti programu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,</w:t>
            </w: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9179D2">
              <w:rPr>
                <w:rFonts w:ascii="Calibri" w:hAnsi="Calibri" w:cs="Calibri"/>
                <w:sz w:val="18"/>
                <w:szCs w:val="18"/>
              </w:rPr>
              <w:t>příjmu,</w:t>
            </w:r>
            <w:r w:rsidRPr="00F96C49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ke kterému je předložen a Směrnici pro žadatele.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/ </w:t>
            </w:r>
          </w:p>
          <w:p w14:paraId="5981E373" w14:textId="4AA7D91E" w:rsidR="00D06E75" w:rsidRPr="00D92503" w:rsidRDefault="00970B41" w:rsidP="00970B4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Wydatki projektu ujęte we wniosku nie są sprzeczne z zasadami kwalifikowalności programu, naboru, w którym jest on składany oraz Wytycznymi dla wnioskodawców.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6FF9D79" w14:textId="77777777" w:rsidR="00D06E75" w:rsidRPr="008F2C27" w:rsidRDefault="00D06E75" w:rsidP="00D06E7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7491DF8" w14:textId="77777777" w:rsidR="00D06E75" w:rsidRPr="008F2C27" w:rsidRDefault="00D06E75" w:rsidP="00D06E7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FB2" w:rsidRPr="008F2C27" w14:paraId="52C8021D" w14:textId="77777777" w:rsidTr="00D92503">
        <w:trPr>
          <w:trHeight w:val="1976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352E876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66F0593" w14:textId="77777777" w:rsidR="00B44EAC" w:rsidRDefault="00B44EAC" w:rsidP="00B44EAC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8E2DD8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zvolil všechny vhodné indikátory výstupu a výsledku a stanovil pro ně cílové hodnoty a popsal způsob jejich měření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  <w:p w14:paraId="5C359731" w14:textId="77777777" w:rsidR="00B44EAC" w:rsidRDefault="00B44EAC" w:rsidP="00B44EAC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Indikátory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výstupu a výsledku odpovídají charakteru projektu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a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příslušn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ému příjmu projektových žádostí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</w:t>
            </w:r>
          </w:p>
          <w:p w14:paraId="0EF614E3" w14:textId="77777777" w:rsidR="00B44EAC" w:rsidRPr="00D92503" w:rsidRDefault="00B44EAC" w:rsidP="00B44EAC">
            <w:pPr>
              <w:pStyle w:val="Default"/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W projekcie wybrano wszystkie właściwe wskaźniki produktu i rezultatu oraz ustalono dla nich wartości docelowe i opisano sposób ich pomiaru.</w:t>
            </w:r>
          </w:p>
          <w:p w14:paraId="1306CD03" w14:textId="118BF307" w:rsidR="00170FB2" w:rsidRPr="008F2C27" w:rsidRDefault="00B44EAC" w:rsidP="00B44EAC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Wskaźniki produktu i rezultatu są adekwatne do charakteru projektu oraz do danego naboru wniosków projektowych.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06F3A6D6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C5422CD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FB2" w:rsidRPr="008F2C27" w14:paraId="0C9A88D8" w14:textId="77777777" w:rsidTr="00BA442C">
        <w:trPr>
          <w:trHeight w:val="498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E060519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7FE85DF" w14:textId="3FD6D88B" w:rsidR="00170FB2" w:rsidRPr="008F2C27" w:rsidRDefault="00B44EAC" w:rsidP="00170FB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13213A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Je popsána udržitelnost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projektu. / </w:t>
            </w:r>
            <w:r w:rsidRPr="00D92503">
              <w:rPr>
                <w:rFonts w:asciiTheme="minorHAnsi" w:hAnsiTheme="minorHAnsi" w:cstheme="minorHAnsi"/>
                <w:i/>
                <w:iCs/>
                <w:noProof/>
                <w:color w:val="2E74B5" w:themeColor="accent1" w:themeShade="BF"/>
                <w:sz w:val="18"/>
                <w:szCs w:val="18"/>
              </w:rPr>
              <w:t>Trwałość projektu jest opisana.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A62842A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0753C63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FB2" w:rsidRPr="000064ED" w14:paraId="575D5138" w14:textId="77777777" w:rsidTr="00D92503">
        <w:trPr>
          <w:trHeight w:val="622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78786FEC" w14:textId="3D30C9BD" w:rsidR="00170FB2" w:rsidRPr="000064ED" w:rsidRDefault="00170FB2" w:rsidP="00170FB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155B8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F6AA1CD" w14:textId="3FAA0046" w:rsidR="00170FB2" w:rsidRPr="000064ED" w:rsidRDefault="00B44EAC" w:rsidP="00170FB2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Obě jazykové verze nejsou z hlediska obsahu v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 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rozporu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/ 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Obie wersje językowe nie są sprzeczne pod względem treści merytorycznej.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78CE130E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4BDFB45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450DD" w:rsidRPr="000064ED" w14:paraId="7AA0E51F" w14:textId="77777777" w:rsidTr="00BA442C">
        <w:trPr>
          <w:trHeight w:val="87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201B24D" w14:textId="13B834CD" w:rsidR="008450DD" w:rsidRPr="000064ED" w:rsidRDefault="008450DD" w:rsidP="008450D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155B8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6220F77" w14:textId="4308517F" w:rsidR="008450DD" w:rsidRPr="000064ED" w:rsidRDefault="00B44EAC" w:rsidP="008450DD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8450D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Projekt splňuje podmínky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příjmu projektových žádostí</w:t>
            </w:r>
            <w:r w:rsidRPr="008450D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z hlediska umístění realizace a umístění dopadu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. / 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Projekt spełnia warunki naboru wniosków projektowych pod względem lokalizacji realizacji i lokalizacji wpływu.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3B7F363" w14:textId="77777777" w:rsidR="008450DD" w:rsidRPr="008F2C27" w:rsidRDefault="008450DD" w:rsidP="008450D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3010EC8" w14:textId="77777777" w:rsidR="008450DD" w:rsidRPr="008F2C27" w:rsidRDefault="008450DD" w:rsidP="008450D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6223" w:rsidRPr="000064ED" w14:paraId="1DB50412" w14:textId="77777777" w:rsidTr="00D92503">
        <w:trPr>
          <w:trHeight w:val="65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982C7A2" w14:textId="1CCE477C" w:rsidR="001B6223" w:rsidRPr="000064ED" w:rsidRDefault="001B6223" w:rsidP="001B622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155B8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79313E95" w14:textId="61E9BD60" w:rsidR="001B6223" w:rsidRPr="000064ED" w:rsidRDefault="00B44EAC" w:rsidP="001B6223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B6223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splňuje podmínky programu z hlediska veřejné podpory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. / 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Projekt spełnia warunki Programu pod względem pomocy publicznej.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713AC4D3" w14:textId="77777777" w:rsidR="001B6223" w:rsidRPr="008F2C27" w:rsidRDefault="001B6223" w:rsidP="001B622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69DC5AA" w14:textId="77777777" w:rsidR="001B6223" w:rsidRPr="008F2C27" w:rsidRDefault="001B6223" w:rsidP="001B622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</w:r>
            <w:r w:rsidR="004C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13259" w:rsidRPr="000064ED" w14:paraId="72282EF6" w14:textId="77777777" w:rsidTr="00D92503">
        <w:trPr>
          <w:trHeight w:val="1121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469DD03" w14:textId="30991D90" w:rsidR="00413259" w:rsidRPr="000064ED" w:rsidRDefault="00413259" w:rsidP="0041325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155B8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AE239A5" w14:textId="201BC46A" w:rsidR="00413259" w:rsidRPr="00413259" w:rsidRDefault="002155B8" w:rsidP="00D92503">
            <w:pPr>
              <w:rPr>
                <w:rFonts w:asciiTheme="minorHAnsi" w:hAnsiTheme="minorHAnsi" w:cstheme="minorHAnsi"/>
                <w:noProof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Projekt splňuje stanovené podmínky pro dobu realizace malých projektů (d</w:t>
            </w:r>
            <w:r w:rsidR="00BA442C" w:rsidRPr="00245482">
              <w:rPr>
                <w:rFonts w:ascii="Calibri" w:hAnsi="Calibri" w:cs="Calibri"/>
                <w:noProof/>
                <w:sz w:val="18"/>
                <w:szCs w:val="18"/>
              </w:rPr>
              <w:t>oba trvání malých projektů je zpravidla 12 měsíců, v odůvodněných případech 18 měsíců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)</w:t>
            </w:r>
            <w:r w:rsidR="00BA442C" w:rsidRPr="00245482">
              <w:rPr>
                <w:rFonts w:ascii="Calibri" w:hAnsi="Calibri" w:cs="Calibri"/>
                <w:noProof/>
                <w:sz w:val="18"/>
                <w:szCs w:val="18"/>
              </w:rPr>
              <w:t xml:space="preserve">. </w:t>
            </w:r>
            <w:r w:rsidR="003B4817" w:rsidRPr="00245482">
              <w:rPr>
                <w:rFonts w:ascii="Calibri" w:hAnsi="Calibri" w:cs="Calibri"/>
                <w:noProof/>
                <w:sz w:val="18"/>
                <w:szCs w:val="18"/>
              </w:rPr>
              <w:t>/</w:t>
            </w:r>
            <w:r>
              <w:t xml:space="preserve"> 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Projekt spełnia warunki określone dla czasu trwania małych projektów(c</w:t>
            </w:r>
            <w:r w:rsidR="003B4817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zas realizacji małych projektów wynosi zazwyczaj 12 miesięcy, w uzasadnionych przypadkach 18 miesięcy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)</w:t>
            </w:r>
            <w:r w:rsidR="003B4817"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3CA25CA" w14:textId="77777777" w:rsidR="00413259" w:rsidRPr="000064ED" w:rsidRDefault="00413259" w:rsidP="0041325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188EB9" w14:textId="77777777" w:rsidR="00413259" w:rsidRPr="000064ED" w:rsidRDefault="00413259" w:rsidP="0041325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1649B" w:rsidRPr="008F2C27" w14:paraId="7EA36A70" w14:textId="77777777" w:rsidTr="00BA442C">
        <w:trPr>
          <w:trHeight w:val="87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5BE6242" w14:textId="644ADF90" w:rsidR="0041649B" w:rsidRPr="000064ED" w:rsidRDefault="00DF50AA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155B8">
              <w:rPr>
                <w:rFonts w:ascii="Calibri" w:hAnsi="Calibri" w:cs="Calibri"/>
                <w:sz w:val="18"/>
                <w:szCs w:val="18"/>
              </w:rPr>
              <w:t>7</w:t>
            </w:r>
            <w:r w:rsidR="0035601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3CC4BE8" w14:textId="2DD784D1" w:rsidR="0041649B" w:rsidRPr="00415C00" w:rsidRDefault="00B44EAC" w:rsidP="0041649B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542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Projektová žádost nebyla doplněna nad rámec výzvy k odstranění vad a nedostatků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. / </w:t>
            </w:r>
            <w:r w:rsidRPr="00D92503">
              <w:rPr>
                <w:rFonts w:ascii="Calibri" w:hAnsi="Calibri" w:cs="Calibri"/>
                <w:i/>
                <w:iCs/>
                <w:noProof/>
                <w:color w:val="2E74B5" w:themeColor="accent1" w:themeShade="BF"/>
                <w:sz w:val="18"/>
                <w:szCs w:val="18"/>
              </w:rPr>
              <w:t>Wniosek projektowy nie został uzupełniony ponad zakres wezwania do usunięcia wad i uchybień.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F88B32A" w14:textId="77777777" w:rsidR="0041649B" w:rsidRPr="000064ED" w:rsidRDefault="0041649B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A4E085B" w14:textId="77777777" w:rsidR="0041649B" w:rsidRPr="000064ED" w:rsidRDefault="0041649B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67077" w:rsidRPr="008F2C27" w14:paraId="5BD31318" w14:textId="77777777" w:rsidTr="00965F0E">
        <w:trPr>
          <w:trHeight w:val="1218"/>
          <w:jc w:val="center"/>
        </w:trPr>
        <w:tc>
          <w:tcPr>
            <w:tcW w:w="9072" w:type="dxa"/>
            <w:gridSpan w:val="5"/>
            <w:shd w:val="clear" w:color="auto" w:fill="auto"/>
          </w:tcPr>
          <w:p w14:paraId="5E3753A8" w14:textId="77777777" w:rsidR="00167077" w:rsidRPr="00D92503" w:rsidRDefault="00167077" w:rsidP="00A02A30">
            <w:pPr>
              <w:pStyle w:val="Bezmezer"/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Komentarz</w:t>
            </w:r>
            <w:proofErr w:type="spellEnd"/>
            <w:r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:</w:t>
            </w:r>
          </w:p>
          <w:p w14:paraId="1DFFE79A" w14:textId="77777777" w:rsidR="00C9582C" w:rsidRDefault="00C9582C" w:rsidP="0006704D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12F5F" w14:textId="77777777" w:rsidR="00D92503" w:rsidRPr="008F2C27" w:rsidRDefault="00D92503" w:rsidP="0006704D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9079C7" w14:textId="77777777" w:rsidR="002C416C" w:rsidRDefault="002C416C" w:rsidP="002C416C">
      <w:pPr>
        <w:rPr>
          <w:rFonts w:asciiTheme="minorHAnsi" w:hAnsiTheme="minorHAnsi" w:cstheme="minorHAnsi"/>
          <w:sz w:val="18"/>
          <w:szCs w:val="18"/>
        </w:rPr>
      </w:pPr>
    </w:p>
    <w:p w14:paraId="3010892E" w14:textId="77777777" w:rsidR="00096310" w:rsidRPr="00D92503" w:rsidRDefault="00096310" w:rsidP="00096310">
      <w:pPr>
        <w:jc w:val="center"/>
        <w:rPr>
          <w:rFonts w:asciiTheme="minorHAnsi" w:hAnsiTheme="minorHAnsi" w:cstheme="minorHAnsi"/>
          <w:b/>
          <w:i/>
          <w:iCs/>
          <w:color w:val="2E74B5" w:themeColor="accent1" w:themeShade="BF"/>
          <w:sz w:val="18"/>
          <w:szCs w:val="18"/>
        </w:rPr>
      </w:pPr>
      <w:r w:rsidRPr="0024548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Dodatečná kritéria </w:t>
      </w:r>
      <w:r w:rsidRPr="00D92503">
        <w:rPr>
          <w:rFonts w:asciiTheme="minorHAnsi" w:hAnsiTheme="minorHAnsi" w:cstheme="minorHAnsi"/>
          <w:b/>
          <w:i/>
          <w:iCs/>
          <w:color w:val="2E74B5" w:themeColor="accent1" w:themeShade="BF"/>
          <w:sz w:val="18"/>
          <w:szCs w:val="18"/>
        </w:rPr>
        <w:t xml:space="preserve">/ </w:t>
      </w:r>
      <w:proofErr w:type="spellStart"/>
      <w:r w:rsidRPr="00D92503">
        <w:rPr>
          <w:rFonts w:asciiTheme="minorHAnsi" w:hAnsiTheme="minorHAnsi" w:cstheme="minorHAnsi"/>
          <w:b/>
          <w:i/>
          <w:iCs/>
          <w:color w:val="2E74B5" w:themeColor="accent1" w:themeShade="BF"/>
          <w:sz w:val="18"/>
          <w:szCs w:val="18"/>
        </w:rPr>
        <w:t>Dodatkowe</w:t>
      </w:r>
      <w:proofErr w:type="spellEnd"/>
      <w:r w:rsidRPr="00D92503">
        <w:rPr>
          <w:rFonts w:asciiTheme="minorHAnsi" w:hAnsiTheme="minorHAnsi" w:cstheme="minorHAnsi"/>
          <w:b/>
          <w:i/>
          <w:iCs/>
          <w:color w:val="2E74B5" w:themeColor="accent1" w:themeShade="BF"/>
          <w:sz w:val="18"/>
          <w:szCs w:val="18"/>
        </w:rPr>
        <w:t xml:space="preserve"> </w:t>
      </w:r>
      <w:proofErr w:type="spellStart"/>
      <w:r w:rsidRPr="00D92503">
        <w:rPr>
          <w:rFonts w:asciiTheme="minorHAnsi" w:hAnsiTheme="minorHAnsi" w:cstheme="minorHAnsi"/>
          <w:b/>
          <w:i/>
          <w:iCs/>
          <w:color w:val="2E74B5" w:themeColor="accent1" w:themeShade="BF"/>
          <w:sz w:val="18"/>
          <w:szCs w:val="18"/>
        </w:rPr>
        <w:t>kryteria</w:t>
      </w:r>
      <w:proofErr w:type="spell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C73FBE" w:rsidRPr="00C73FBE" w14:paraId="6F545A30" w14:textId="77777777" w:rsidTr="00D92503">
        <w:trPr>
          <w:trHeight w:val="494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79E8B428" w14:textId="5F178CA9" w:rsidR="00F20C33" w:rsidRPr="00C73FBE" w:rsidRDefault="00F20C33" w:rsidP="003234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3734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734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Malé p</w:t>
            </w:r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rojekty </w:t>
            </w:r>
            <w:r w:rsidR="00144350">
              <w:rPr>
                <w:rFonts w:ascii="Calibri" w:eastAsia="Calibri" w:hAnsi="Calibri" w:cs="Calibri"/>
                <w:b/>
                <w:sz w:val="18"/>
                <w:szCs w:val="18"/>
              </w:rPr>
              <w:t>zaměřené na drobnou infrastrukturu v cestovním ruchu</w:t>
            </w:r>
            <w:r w:rsidR="003B4817"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 </w:t>
            </w:r>
            <w:r w:rsidR="006157F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                           </w:t>
            </w:r>
            <w:r w:rsidR="003B4817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LISTA SPRAWDZAJĄCA – </w:t>
            </w:r>
            <w:proofErr w:type="spellStart"/>
            <w:r w:rsidR="003734FD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Małe</w:t>
            </w:r>
            <w:proofErr w:type="spellEnd"/>
            <w:r w:rsidR="003734FD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 projekty </w:t>
            </w:r>
            <w:proofErr w:type="spellStart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nastawione</w:t>
            </w:r>
            <w:proofErr w:type="spellEnd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 na </w:t>
            </w:r>
            <w:proofErr w:type="spellStart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małą</w:t>
            </w:r>
            <w:proofErr w:type="spellEnd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infrastrukturę</w:t>
            </w:r>
            <w:proofErr w:type="spellEnd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="00144350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turystyce</w:t>
            </w:r>
            <w:proofErr w:type="spellEnd"/>
            <w:r w:rsidR="003734FD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:</w:t>
            </w:r>
          </w:p>
        </w:tc>
      </w:tr>
      <w:tr w:rsidR="00F20C33" w:rsidRPr="008F2C27" w14:paraId="4B656036" w14:textId="77777777" w:rsidTr="006134ED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1214E6CA" w14:textId="77777777" w:rsidR="00F20C33" w:rsidRPr="008F2C27" w:rsidRDefault="00F20C33" w:rsidP="006134E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6E696E5" w14:textId="77777777" w:rsidR="00F20C33" w:rsidRPr="008F2C27" w:rsidRDefault="00F20C33" w:rsidP="006134E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7379BEC" w14:textId="77777777" w:rsidR="00F20C33" w:rsidRPr="008F2C27" w:rsidRDefault="00F20C33" w:rsidP="006134E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1A2B56" w:rsidRPr="000064ED" w14:paraId="41B1680F" w14:textId="77777777" w:rsidTr="00D92503">
        <w:trPr>
          <w:trHeight w:val="1318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1A75C48" w14:textId="63EE3834" w:rsidR="001A2B56" w:rsidRDefault="001A2B56" w:rsidP="001A2B5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1C8C1791" w14:textId="45728E71" w:rsidR="001A2B56" w:rsidRPr="00C73FBE" w:rsidRDefault="00096310" w:rsidP="001A2B5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IDFont+F1" w:hAnsi="CIDFont+F1" w:cs="CIDFont+F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Rozpočet stavebních prací je členěn dle stavebních objektů, popřípadě dílčích stavebních nebo funkčních celků</w:t>
            </w:r>
            <w:r w:rsid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(případně jiné obdobné části)</w:t>
            </w:r>
            <w:r w:rsidR="001A2B56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="003B4817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Budżet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r w:rsidR="003734FD" w:rsidRPr="00D9250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  <w:lang w:val="pl-PL"/>
              </w:rPr>
              <w:t>robót budowlanych</w:t>
            </w:r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jest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podzielony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według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obiektu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budowlanego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lub, w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stosownych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przypadkach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według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podbudowy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lub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jednostki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funkcjonalnej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(lub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innej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podobnej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części</w:t>
            </w:r>
            <w:proofErr w:type="spellEnd"/>
            <w:r w:rsidR="003734F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).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570CE3F" w14:textId="78BE09BF" w:rsidR="001A2B56" w:rsidRPr="000064ED" w:rsidRDefault="001A2B56" w:rsidP="001A2B5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3A5260C" w14:textId="2D88DFDF" w:rsidR="001A2B56" w:rsidRPr="000064ED" w:rsidRDefault="001A2B56" w:rsidP="001A2B5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734FD" w:rsidRPr="000064ED" w14:paraId="28CB6FEA" w14:textId="77777777" w:rsidTr="00D92503">
        <w:trPr>
          <w:trHeight w:val="2258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D3A83CB" w14:textId="045CB25B" w:rsidR="003734FD" w:rsidRDefault="003734FD" w:rsidP="003734F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8DEC103" w14:textId="6CFB90AD" w:rsidR="003734FD" w:rsidRDefault="003734FD" w:rsidP="00D92503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Výše jednotlivých položek stavebního rozpočtu, jejich množství a celková skladba je adekvátní popisu investice a projektových aktivit (v rozpočtu jsou zahrnuty pouze nezbytné položky) – hodnoceno odborným expertem se zkušenostmi a dostatečnou odborností v oblasti stavebních výdajů.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Kwota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poszczególnych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pozycji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budżecie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budowlanym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ich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ilość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ogólny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skład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są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adekwatne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do opisu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inwestycji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działań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projektowych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(w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budżecie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uwzględniono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tylko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niezbędne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pozycje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) -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ocenione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przez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profesjonalnego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eksperta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z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doświadczeniem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wystarczającą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wiedzą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specjalistyczną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dziedzinie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wydatków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budowlanych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49F67C1" w14:textId="30C42C4B" w:rsidR="003734FD" w:rsidRPr="000064ED" w:rsidRDefault="003734FD" w:rsidP="003734F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25C44E3" w14:textId="70E3FC01" w:rsidR="003734FD" w:rsidRPr="000064ED" w:rsidRDefault="003734FD" w:rsidP="003734F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2B2FA65C" w14:textId="77777777" w:rsidTr="00D92503">
        <w:trPr>
          <w:trHeight w:val="1128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5B71C57" w14:textId="75DC7F71" w:rsidR="00096310" w:rsidRDefault="003734FD" w:rsidP="00096310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CC6FCDC" w14:textId="4B3F1FB4" w:rsidR="00096310" w:rsidRPr="00C73FBE" w:rsidRDefault="00096310" w:rsidP="000963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Každá položka rozpočtu je jasně propojena s výstupem projektu a je vysvětlena a naplánovaná účelně.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Każda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pozycja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budżetu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jest w jasny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sposób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powiązana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gram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</w:t>
            </w:r>
            <w:proofErr w:type="gram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 produktem projektu, jest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wyjaśniona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zaplanowana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celowo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8DF7A28" w14:textId="4FB00DD6" w:rsidR="00096310" w:rsidRPr="000064ED" w:rsidRDefault="00096310" w:rsidP="0009631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05E42A6" w14:textId="300FB597" w:rsidR="00096310" w:rsidRPr="000064ED" w:rsidRDefault="00096310" w:rsidP="0009631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15612" w:rsidRPr="000064ED" w14:paraId="047DD30A" w14:textId="77777777" w:rsidTr="006134ED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7F821827" w14:textId="78CC5688" w:rsidR="00C15612" w:rsidRPr="008F2C27" w:rsidRDefault="003734FD" w:rsidP="001A2B5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A2B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CE59D8F" w14:textId="79E7503E" w:rsidR="00C15612" w:rsidRPr="00C73FBE" w:rsidRDefault="001A2B56" w:rsidP="001A2B56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Náklady na externí služby a vybavení jsou naplánované hospodárně, účelně a ekonomicky efektivně. 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usług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841F9F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zewn</w:t>
            </w:r>
            <w:r w:rsidR="00603CF6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ę</w:t>
            </w:r>
            <w:r w:rsidR="00841F9F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trznych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wyposażenia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są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zaplanowane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sposób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gospodarny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celowy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ekonomicznie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efektywny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FDA477F" w14:textId="77777777" w:rsidR="00C15612" w:rsidRPr="000064ED" w:rsidRDefault="00C15612" w:rsidP="006134E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3F5B718" w14:textId="77777777" w:rsidR="00C15612" w:rsidRPr="000064ED" w:rsidRDefault="00C15612" w:rsidP="006134E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2344D" w:rsidRPr="000064ED" w14:paraId="18C73962" w14:textId="77777777" w:rsidTr="00D92503">
        <w:trPr>
          <w:trHeight w:val="1968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DD8CD05" w14:textId="45D7B52E" w:rsidR="0032344D" w:rsidRDefault="003734FD" w:rsidP="0032344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A2B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613E3066" w14:textId="7140D101" w:rsidR="0032344D" w:rsidRPr="00C73FBE" w:rsidRDefault="00C970C6" w:rsidP="00C970C6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="Calibri" w:eastAsia="Calibri" w:hAnsi="Calibri" w:cs="Calibri"/>
                <w:sz w:val="18"/>
                <w:szCs w:val="18"/>
              </w:rPr>
              <w:t>Náklady odpovídají mediánům uvedeným v katalogu cen.</w:t>
            </w:r>
            <w:r w:rsidR="00F35295">
              <w:t xml:space="preserve"> </w:t>
            </w:r>
            <w:r w:rsidR="00F35295" w:rsidRPr="00F35295">
              <w:rPr>
                <w:rFonts w:ascii="Calibri" w:eastAsia="Calibri" w:hAnsi="Calibri" w:cs="Calibri"/>
                <w:sz w:val="18"/>
                <w:szCs w:val="18"/>
              </w:rPr>
              <w:t>Pokud byl medián překročen, žadatel překročení smysluplně zdůvodnil a Správce náklad uznal, případně zkrátil na výši mediánu – zdůvodnění Správce uvedl v komentáři.</w:t>
            </w:r>
            <w:r w:rsidR="00A53551"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proofErr w:type="spellStart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odpowiadają</w:t>
            </w:r>
            <w:proofErr w:type="spellEnd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medianom</w:t>
            </w:r>
            <w:proofErr w:type="spellEnd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podanym</w:t>
            </w:r>
            <w:proofErr w:type="spellEnd"/>
            <w:r w:rsidR="00A53551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w katalogu cen.</w:t>
            </w:r>
            <w:r w:rsidR="00F35295" w:rsidRPr="00D92503">
              <w:rPr>
                <w:i/>
                <w:iCs/>
                <w:color w:val="2E74B5" w:themeColor="accent1" w:themeShade="BF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Jeśli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mediana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została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przekroczona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przekroczenie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to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należycie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uzasadnił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a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Zarządzający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uznał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koszt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lub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ewentualnie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obniżył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go do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wysokości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mediany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-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Zarządzający</w:t>
            </w:r>
            <w:proofErr w:type="spellEnd"/>
            <w:proofErr w:type="gram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przedstawił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uzasadnienie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komentarzu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9D3B55D" w14:textId="71AB229E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9E17160" w14:textId="4D5BF23F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2344D" w:rsidRPr="000064ED" w14:paraId="4522DB64" w14:textId="77777777" w:rsidTr="006134ED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24A9DD2" w14:textId="7F9A4BBF" w:rsidR="0032344D" w:rsidRDefault="003734FD" w:rsidP="0032344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970C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53954972" w14:textId="43D758BB" w:rsidR="0032344D" w:rsidRPr="00C73FBE" w:rsidRDefault="00C970C6" w:rsidP="00C970C6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Odpovídá požadované množství jednotlivých služeb a vybavení rozsahu projektu.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Wnioskowana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liczba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poszczególnych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usług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wyposażenia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odpowiada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zakresowi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2F712F" w14:textId="5B6935A0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415D897" w14:textId="6E3B13B0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82FF3" w:rsidRPr="000064ED" w14:paraId="5D8427A0" w14:textId="77777777" w:rsidTr="006134ED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12B7741" w14:textId="39FE47EB" w:rsidR="00982FF3" w:rsidRDefault="00F35295" w:rsidP="00982FF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982FF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2E56D799" w14:textId="2AED4D7D" w:rsidR="00982FF3" w:rsidRPr="00D92503" w:rsidRDefault="00982FF3" w:rsidP="00982FF3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V případě, že náklad není v Katalogu cen a je výše nákladu vyšší než 1 000 EUR, provedl žadatel průzkum trhu a doložil alespoň 3 srovnatelné nabídky. Doložil žadatel způsob provedení průzkumu trhu, aby Správce získal ujištění, že předmět plnění byl vymezen dostatečně podrobně a srozumitelně a odpovídá potřebám projektu a jeho cílům.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/ </w:t>
            </w:r>
            <w:bookmarkStart w:id="6" w:name="_Hlk139808867"/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Jeżeli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nie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znajduje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się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w katalogu cen, a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przekracza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1 000 EUR,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przeprowadził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rozeznanie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rynku 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złożył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co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najmniej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3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porównywalne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oferty.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udokumentował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sposób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przeprowadzenia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rozeznania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rynku, aby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Zarządzający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miał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pewność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że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przedmiot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świadczenia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został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określony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wystarczająco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szczegółowo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zrozumiale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jest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odpowiedni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r w:rsidR="0074738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na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potrzeb</w:t>
            </w:r>
            <w:r w:rsidR="0074738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 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jego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celów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  <w:bookmarkEnd w:id="6"/>
          <w:p w14:paraId="0B8AC68B" w14:textId="77777777" w:rsidR="00982FF3" w:rsidRPr="00C73FBE" w:rsidRDefault="00982FF3" w:rsidP="00982FF3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5EF7260" w14:textId="63211334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03A957" w14:textId="06EAA19D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82FF3" w:rsidRPr="000064ED" w14:paraId="49F825CC" w14:textId="77777777" w:rsidTr="006134ED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E7CA6A5" w14:textId="740FCCAC" w:rsidR="00982FF3" w:rsidRDefault="00F35295" w:rsidP="00982FF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  <w:r w:rsidR="00982FF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F11CAB3" w14:textId="3348FDDD" w:rsidR="00982FF3" w:rsidRPr="00C73FBE" w:rsidRDefault="00982FF3" w:rsidP="00D9250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Personální </w:t>
            </w:r>
            <w:proofErr w:type="gram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náklady - nepřesahují</w:t>
            </w:r>
            <w:proofErr w:type="gram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20% z</w:t>
            </w:r>
            <w:r w:rsidR="00115FBD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1C308F">
              <w:rPr>
                <w:rFonts w:asciiTheme="minorHAnsi" w:eastAsia="Calibri" w:hAnsiTheme="minorHAnsi" w:cstheme="minorHAnsi"/>
                <w:sz w:val="18"/>
                <w:szCs w:val="18"/>
              </w:rPr>
              <w:t>tří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kontrolovaných kategorií (</w:t>
            </w:r>
            <w:r w:rsidR="001C308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stavební práce, 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externí služby a vybavení)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personelu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–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nie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przekraczają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20% z </w:t>
            </w:r>
            <w:proofErr w:type="spellStart"/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trzech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kontrolowanych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kategorii (</w:t>
            </w:r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roboty </w:t>
            </w:r>
            <w:proofErr w:type="spellStart"/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budowlane</w:t>
            </w:r>
            <w:proofErr w:type="spellEnd"/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usługi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841F9F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zewnętrzne</w:t>
            </w:r>
            <w:proofErr w:type="spellEnd"/>
            <w:r w:rsidR="00841F9F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i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wyposażenie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89A2F29" w14:textId="7246B0D7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1014BA" w14:textId="1CFB19C6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82FF3" w:rsidRPr="00F96728" w14:paraId="0AAFCBD5" w14:textId="77777777" w:rsidTr="006134ED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1BF8ADF" w14:textId="123FDB5C" w:rsidR="00982FF3" w:rsidRPr="00F96728" w:rsidRDefault="00F35295" w:rsidP="00982FF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982FF3" w:rsidRPr="00F9672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C3F36E5" w14:textId="317A44EE" w:rsidR="00982FF3" w:rsidRPr="00F96728" w:rsidRDefault="00982FF3" w:rsidP="00C708B8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>Souhlasí výše paušálních nákladů: 20% personální náklady z</w:t>
            </w:r>
            <w:r w:rsidR="00115FBD"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115FBD"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>tří</w:t>
            </w:r>
            <w:r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kontrolovaných kategorií → z toho 15% administrativní náklady a 15% cestovné. </w:t>
            </w:r>
            <w:r w:rsidR="005A3222"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(relevantní pouze pro projekty, ve kterých žadatel nárokuje tyto paušální náklady) </w:t>
            </w:r>
            <w:r w:rsidR="00A53551" w:rsidRPr="00F96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Wysokość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kosztów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ryczałtowych</w:t>
            </w:r>
            <w:proofErr w:type="spellEnd"/>
            <w:r w:rsidR="00C708B8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jest </w:t>
            </w:r>
            <w:proofErr w:type="spellStart"/>
            <w:r w:rsidR="00C708B8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prawidłowa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: </w:t>
            </w:r>
            <w:proofErr w:type="gram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20%</w:t>
            </w:r>
            <w:proofErr w:type="gram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personelu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 </w:t>
            </w:r>
            <w:proofErr w:type="spellStart"/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trzech</w:t>
            </w:r>
            <w:proofErr w:type="spellEnd"/>
            <w:r w:rsidR="00115FBD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kontrolowanych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kategorii → z 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tego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15%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administracyjne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15%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podróży</w:t>
            </w:r>
            <w:proofErr w:type="spellEnd"/>
            <w:r w:rsidR="00A53551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  <w:r w:rsidR="005A3222" w:rsidRPr="00D92503">
              <w:rPr>
                <w:i/>
                <w:iCs/>
                <w:color w:val="2E74B5" w:themeColor="accent1" w:themeShade="BF"/>
              </w:rPr>
              <w:t xml:space="preserve"> </w:t>
            </w:r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(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dotyczy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tylko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projektów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w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których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wnioskuje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o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te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ryczałtowe</w:t>
            </w:r>
            <w:proofErr w:type="spellEnd"/>
            <w:r w:rsidR="005A3222"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029DDA3" w14:textId="68188988" w:rsidR="00982FF3" w:rsidRPr="00F96728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9672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72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9672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28862B" w14:textId="106126FD" w:rsidR="00982FF3" w:rsidRPr="00F96728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9672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72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9672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F35295" w:rsidRPr="00F96728" w14:paraId="72979819" w14:textId="77777777" w:rsidTr="00FE0CCB">
        <w:trPr>
          <w:trHeight w:val="87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720F38A" w14:textId="77777777" w:rsidR="00F35295" w:rsidRPr="00D92503" w:rsidRDefault="00F35295" w:rsidP="00F35295">
            <w:pPr>
              <w:spacing w:before="120" w:after="120"/>
              <w:jc w:val="left"/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F35295">
              <w:rPr>
                <w:rFonts w:ascii="Calibri" w:hAnsi="Calibri" w:cs="Calibri"/>
                <w:sz w:val="18"/>
                <w:szCs w:val="18"/>
              </w:rPr>
              <w:t xml:space="preserve">Komentář/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Komentarz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:</w:t>
            </w:r>
          </w:p>
          <w:p w14:paraId="5F25F8E2" w14:textId="77777777" w:rsidR="00F35295" w:rsidRDefault="00F35295" w:rsidP="00F35295">
            <w:pPr>
              <w:spacing w:before="120"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63FCC17C" w14:textId="5041D66D" w:rsidR="00F35295" w:rsidRPr="00F96728" w:rsidRDefault="00F35295" w:rsidP="00D92503">
            <w:pPr>
              <w:spacing w:before="120"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E2CA93" w14:textId="77777777" w:rsidR="00C15612" w:rsidRPr="00F96728" w:rsidRDefault="00C15612" w:rsidP="002C416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096310" w:rsidRPr="00C73FBE" w14:paraId="772139AB" w14:textId="77777777" w:rsidTr="00D92503">
        <w:trPr>
          <w:trHeight w:val="441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A3179FA" w14:textId="24989C24" w:rsidR="00096310" w:rsidRPr="00C73FBE" w:rsidRDefault="00096310" w:rsidP="008408D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67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3734FD" w:rsidRPr="00F967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F967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A3222" w:rsidRPr="00F967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Ostatní malé projekty</w:t>
            </w:r>
            <w:r w:rsidRPr="00F9672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 </w:t>
            </w:r>
            <w:r w:rsidR="006157F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LISTA SPRAWDZAJĄCA – </w:t>
            </w:r>
            <w:proofErr w:type="spellStart"/>
            <w:r w:rsidR="005A3222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Pozostałe</w:t>
            </w:r>
            <w:proofErr w:type="spellEnd"/>
            <w:r w:rsidR="005A3222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5A3222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małe</w:t>
            </w:r>
            <w:proofErr w:type="spellEnd"/>
            <w:r w:rsidR="005A3222"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 xml:space="preserve"> projekty</w:t>
            </w:r>
            <w:r w:rsidRPr="00D92503">
              <w:rPr>
                <w:rFonts w:ascii="Calibri" w:eastAsia="Calibri" w:hAnsi="Calibri" w:cs="Calibri"/>
                <w:b/>
                <w:i/>
                <w:iCs/>
                <w:color w:val="2E74B5" w:themeColor="accent1" w:themeShade="BF"/>
                <w:sz w:val="18"/>
                <w:szCs w:val="18"/>
              </w:rPr>
              <w:t>:</w:t>
            </w:r>
          </w:p>
        </w:tc>
      </w:tr>
      <w:tr w:rsidR="00096310" w:rsidRPr="008F2C27" w14:paraId="5F2B6569" w14:textId="77777777" w:rsidTr="008408D1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50AE4AC2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976D535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EDE3F32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096310" w:rsidRPr="000064ED" w14:paraId="2C1D1559" w14:textId="77777777" w:rsidTr="00D92503">
        <w:trPr>
          <w:trHeight w:val="1123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EDE5DEA" w14:textId="77777777" w:rsidR="00096310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53C59BA5" w14:textId="77777777" w:rsidR="00096310" w:rsidRPr="00C73FBE" w:rsidRDefault="00096310" w:rsidP="008408D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IDFont+F1" w:hAnsi="CIDFont+F1" w:cs="CIDFont+F1"/>
                <w:sz w:val="16"/>
                <w:szCs w:val="16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Každá položka rozpočtu je jasně propojena s výstupem projektu a je vysvětlena a naplánovaná účelně.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Każda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pozycja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budżetu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jest w jasny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sposób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powiązana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gram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</w:t>
            </w:r>
            <w:proofErr w:type="gram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 produktem projektu, jest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wyjaśniona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zaplanowana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celowo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EF0E746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AE55C91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6BA17116" w14:textId="77777777" w:rsidTr="008408D1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72C8B5AB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18EE661F" w14:textId="3EE3156B" w:rsidR="00096310" w:rsidRPr="00C73FBE" w:rsidRDefault="00096310" w:rsidP="008408D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Náklady na externí služby a vybavení jsou naplánované hospodárně, účelně a ekonomicky efektivně.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usług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zewnętrznych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wyposażenia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są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zaplanowane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sposób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gospodarny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celowy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ekonomicznie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efektywny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CD076A0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46396EA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0338219D" w14:textId="77777777" w:rsidTr="00D92503">
        <w:trPr>
          <w:trHeight w:val="1978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B7C5048" w14:textId="77777777" w:rsidR="00096310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5B209439" w14:textId="62554EBB" w:rsidR="00096310" w:rsidRPr="00C73FBE" w:rsidRDefault="00096310" w:rsidP="008408D1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="Calibri" w:eastAsia="Calibri" w:hAnsi="Calibri" w:cs="Calibri"/>
                <w:sz w:val="18"/>
                <w:szCs w:val="18"/>
              </w:rPr>
              <w:t>Náklady odpovídají mediánům uvedeným v katalogu cen.</w:t>
            </w:r>
            <w:r w:rsidR="00F35295">
              <w:t xml:space="preserve"> </w:t>
            </w:r>
            <w:r w:rsidR="00F35295" w:rsidRPr="00F35295">
              <w:rPr>
                <w:rFonts w:ascii="Calibri" w:eastAsia="Calibri" w:hAnsi="Calibri" w:cs="Calibri"/>
                <w:sz w:val="18"/>
                <w:szCs w:val="18"/>
              </w:rPr>
              <w:t>Pokud byl medián překročen, žadatel překročení smysluplně zdůvodnil a Správce náklad uznal, případně zkrátil na výši mediánu – zdůvodnění Správce uvedl v komentáři.</w:t>
            </w:r>
            <w:r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odpowiadają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medianom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podanym</w:t>
            </w:r>
            <w:proofErr w:type="spellEnd"/>
            <w:r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w katalogu cen.</w:t>
            </w:r>
            <w:r w:rsidR="00DD0D16" w:rsidRPr="00D92503">
              <w:rPr>
                <w:i/>
                <w:iCs/>
                <w:color w:val="2E74B5" w:themeColor="accent1" w:themeShade="BF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Jeśli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mediana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została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przekroczona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przekroczenie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to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należycie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uzasadnił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a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Zarządzający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uznał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koszt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lub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ewentualnie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obniżył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go do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wysokości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mediany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-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Zarządzający</w:t>
            </w:r>
            <w:proofErr w:type="spellEnd"/>
            <w:proofErr w:type="gram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przedstawił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uzasadnienie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 xml:space="preserve"> w </w:t>
            </w:r>
            <w:proofErr w:type="spellStart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komentarzu</w:t>
            </w:r>
            <w:proofErr w:type="spellEnd"/>
            <w:r w:rsidR="00DD0D16" w:rsidRPr="00D92503">
              <w:rPr>
                <w:rFonts w:ascii="Calibri" w:eastAsia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  <w:r w:rsidR="00F35295" w:rsidRPr="00D92503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BE34625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906C173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2EB681F4" w14:textId="77777777" w:rsidTr="008408D1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B6E266E" w14:textId="77777777" w:rsidR="00096310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6BC50BBF" w14:textId="77777777" w:rsidR="00096310" w:rsidRPr="00C73FBE" w:rsidRDefault="00096310" w:rsidP="008408D1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Odpovídá požadované množství jednotlivých služeb a vybavení rozsahu projektu.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Wnioskowana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liczba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poszczególnych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usług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wyposażenia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odpowiada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zakresowi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160A1AA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26B339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295FA95C" w14:textId="77777777" w:rsidTr="008408D1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52E13E3" w14:textId="28B9819D" w:rsidR="00096310" w:rsidRDefault="00F35295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131049F5" w14:textId="6FAE3268" w:rsidR="00096310" w:rsidRPr="00C73FBE" w:rsidRDefault="00096310" w:rsidP="00D92503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 případě, že náklad není v Katalogu cen a je výše nákladu vyšší než 1 000 EUR, provedl žadatel průzkum trhu a doložil alespoň 3 srovnatelné nabídky. Doložil žadatel způsob provedení průzkumu trhu, aby Správce získal ujištění, že předmět plnění byl vymezen dostatečně podrobně a srozumitelně a odpovídá potřebám projektu a jeho cílům. </w:t>
            </w:r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Jeżeli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znajduje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się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w katalogu cen, a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przekracza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1 000 EUR,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przeprowadził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rozeznanie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rynku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złożył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co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najmniej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3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porównywalne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oferty.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Wnioskodawca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udokumentował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sposób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przeprowadzenia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rozeznania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rynku, aby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Zarządzający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miał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pewność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że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przedmiot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świadczenia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został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określony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wystarczająco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szczegółowo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zrozumiale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jest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odpowiedni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na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potrzeby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projektu i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jego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celów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2F20176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92EF451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4E461891" w14:textId="77777777" w:rsidTr="00D92503">
        <w:trPr>
          <w:trHeight w:val="813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5F0F168" w14:textId="08D0BFD6" w:rsidR="00096310" w:rsidRDefault="00F35295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5A4657D3" w14:textId="4B5C388D" w:rsidR="00096310" w:rsidRPr="00C73FBE" w:rsidRDefault="00096310" w:rsidP="00D92503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Personální náklady - nepřesahují 20% z dvou kontrolovaných kategorií (externí služby a vybavení)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personelu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–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nie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przekraczają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20% z 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dwóch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kontrolowanych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kategorii (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usługi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zewnętrzne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 i</w:t>
            </w:r>
            <w:proofErr w:type="gram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wyposażenie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7A42F10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0AE6ADA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6E38A655" w14:textId="77777777" w:rsidTr="008408D1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722957AD" w14:textId="2BF261D3" w:rsidR="00096310" w:rsidRDefault="00F35295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715825B" w14:textId="77777777" w:rsidR="00096310" w:rsidRPr="00C73FBE" w:rsidRDefault="00096310" w:rsidP="008408D1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Souhlasí výše paušálních nákladů: 20% personální náklady z dvou kontrolovaných kategorií → z toho 15% administrativní náklady a 15% cestovné. /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Wysokość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kosztów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ryczałtowych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jest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prawidłowa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: </w:t>
            </w:r>
            <w:proofErr w:type="gram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20%</w:t>
            </w:r>
            <w:proofErr w:type="gram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personelu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z 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dwóch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kontrolowanych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kategorii → z 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tego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15%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administracyjne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i 15%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koszty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podróży</w:t>
            </w:r>
            <w:proofErr w:type="spellEnd"/>
            <w:r w:rsidRPr="00D92503">
              <w:rPr>
                <w:rFonts w:asciiTheme="minorHAnsi" w:eastAsia="Calibr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F36B64C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0FC6844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Calibri" w:hAnsi="Calibri" w:cs="Calibri"/>
                <w:sz w:val="18"/>
                <w:szCs w:val="18"/>
              </w:rPr>
            </w:r>
            <w:r w:rsidR="004C4D1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F35295" w:rsidRPr="000064ED" w14:paraId="345988C7" w14:textId="77777777" w:rsidTr="00BB5075">
        <w:trPr>
          <w:trHeight w:val="87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D2A12D4" w14:textId="77777777" w:rsidR="00F35295" w:rsidRPr="00D92503" w:rsidRDefault="00F35295" w:rsidP="00F35295">
            <w:pPr>
              <w:spacing w:before="120" w:after="120"/>
              <w:jc w:val="left"/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F35295">
              <w:rPr>
                <w:rFonts w:ascii="Calibri" w:hAnsi="Calibri" w:cs="Calibri"/>
                <w:sz w:val="18"/>
                <w:szCs w:val="18"/>
              </w:rPr>
              <w:t xml:space="preserve">Komentář/ </w:t>
            </w:r>
            <w:proofErr w:type="spellStart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Komentarz</w:t>
            </w:r>
            <w:proofErr w:type="spellEnd"/>
            <w:r w:rsidRPr="00D92503">
              <w:rPr>
                <w:rFonts w:ascii="Calibri" w:hAnsi="Calibri" w:cs="Calibri"/>
                <w:i/>
                <w:iCs/>
                <w:color w:val="2E74B5" w:themeColor="accent1" w:themeShade="BF"/>
                <w:sz w:val="18"/>
                <w:szCs w:val="18"/>
              </w:rPr>
              <w:t>:</w:t>
            </w:r>
          </w:p>
          <w:p w14:paraId="27EE41E6" w14:textId="77777777" w:rsidR="00F35295" w:rsidRDefault="00F35295" w:rsidP="00F35295">
            <w:pPr>
              <w:spacing w:before="120"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77A29C77" w14:textId="2D4AB139" w:rsidR="00F35295" w:rsidRPr="000064ED" w:rsidRDefault="00F35295" w:rsidP="00D92503">
            <w:pPr>
              <w:spacing w:before="120"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C460F0" w14:textId="77777777" w:rsidR="00982FF3" w:rsidRPr="008F2C27" w:rsidRDefault="00982FF3" w:rsidP="002C416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28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975"/>
        <w:gridCol w:w="1864"/>
      </w:tblGrid>
      <w:tr w:rsidR="002C416C" w:rsidRPr="008F2C27" w14:paraId="2D0E37CF" w14:textId="77777777" w:rsidTr="00B26A8F">
        <w:tc>
          <w:tcPr>
            <w:tcW w:w="2856" w:type="pct"/>
            <w:shd w:val="clear" w:color="auto" w:fill="auto"/>
          </w:tcPr>
          <w:p w14:paraId="13404E24" w14:textId="77777777" w:rsidR="00CC7F8B" w:rsidRPr="008F2C27" w:rsidRDefault="002C416C" w:rsidP="00965F0E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Kontrolu provedl (jméno, příjmení) / </w:t>
            </w:r>
          </w:p>
          <w:p w14:paraId="25026A96" w14:textId="77777777" w:rsidR="002C416C" w:rsidRPr="00AB6373" w:rsidRDefault="002C416C" w:rsidP="006520CD">
            <w:pPr>
              <w:spacing w:before="60" w:after="6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>Kontrolę</w:t>
            </w:r>
            <w:proofErr w:type="spellEnd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>przeprowadził</w:t>
            </w:r>
            <w:proofErr w:type="spellEnd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 xml:space="preserve"> (</w:t>
            </w:r>
            <w:proofErr w:type="spellStart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>imię</w:t>
            </w:r>
            <w:proofErr w:type="spellEnd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>nazwisko</w:t>
            </w:r>
            <w:proofErr w:type="spellEnd"/>
            <w:r w:rsidRPr="00D92503">
              <w:rPr>
                <w:rFonts w:asciiTheme="minorHAnsi" w:hAnsiTheme="minorHAnsi" w:cstheme="minorHAnsi"/>
                <w:i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1103" w:type="pct"/>
            <w:shd w:val="clear" w:color="auto" w:fill="auto"/>
          </w:tcPr>
          <w:p w14:paraId="68BFC19D" w14:textId="0C9FA503" w:rsidR="002C416C" w:rsidRPr="008F2C27" w:rsidRDefault="0006704D" w:rsidP="0006704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D</w:t>
            </w:r>
            <w:r w:rsidR="002C416C"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atum / </w:t>
            </w:r>
            <w:r w:rsidR="006157F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D</w:t>
            </w:r>
            <w:r w:rsidR="002C416C"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ata</w:t>
            </w:r>
          </w:p>
        </w:tc>
        <w:tc>
          <w:tcPr>
            <w:tcW w:w="1041" w:type="pct"/>
            <w:shd w:val="clear" w:color="auto" w:fill="auto"/>
          </w:tcPr>
          <w:p w14:paraId="1F738050" w14:textId="77777777" w:rsidR="002C416C" w:rsidRPr="008F2C27" w:rsidRDefault="002C416C" w:rsidP="00965F0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Podpis / </w:t>
            </w:r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Podpis</w:t>
            </w:r>
          </w:p>
        </w:tc>
      </w:tr>
      <w:tr w:rsidR="006520CD" w:rsidRPr="008F2C27" w14:paraId="67A31027" w14:textId="77777777" w:rsidTr="00B26A8F">
        <w:tc>
          <w:tcPr>
            <w:tcW w:w="2856" w:type="pct"/>
            <w:shd w:val="clear" w:color="auto" w:fill="auto"/>
          </w:tcPr>
          <w:p w14:paraId="157FC343" w14:textId="77777777" w:rsidR="006520CD" w:rsidRPr="008F2C27" w:rsidRDefault="006520CD" w:rsidP="00965F0E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14:paraId="6172AA9E" w14:textId="77777777" w:rsidR="006520CD" w:rsidRPr="008F2C27" w:rsidRDefault="006520CD" w:rsidP="0006704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auto"/>
          </w:tcPr>
          <w:p w14:paraId="070861F8" w14:textId="77777777" w:rsidR="006520CD" w:rsidRPr="008F2C27" w:rsidRDefault="006520CD" w:rsidP="00965F0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6520CD" w:rsidRPr="008F2C27" w14:paraId="0E1E8D6C" w14:textId="77777777" w:rsidTr="00B26A8F">
        <w:tc>
          <w:tcPr>
            <w:tcW w:w="2856" w:type="pct"/>
            <w:shd w:val="clear" w:color="auto" w:fill="auto"/>
          </w:tcPr>
          <w:p w14:paraId="75AF96AF" w14:textId="77777777" w:rsidR="006520CD" w:rsidRPr="008F2C27" w:rsidRDefault="006520CD" w:rsidP="00965F0E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14:paraId="6C34B4B4" w14:textId="77777777" w:rsidR="006520CD" w:rsidRPr="008F2C27" w:rsidRDefault="006520CD" w:rsidP="0006704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auto"/>
          </w:tcPr>
          <w:p w14:paraId="3D05446B" w14:textId="77777777" w:rsidR="006520CD" w:rsidRPr="008F2C27" w:rsidRDefault="006520CD" w:rsidP="00965F0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52425D3" w14:textId="77777777" w:rsidR="002C416C" w:rsidRPr="008F2C27" w:rsidRDefault="002C416C">
      <w:pPr>
        <w:rPr>
          <w:rFonts w:asciiTheme="minorHAnsi" w:hAnsiTheme="minorHAnsi" w:cstheme="minorHAnsi"/>
          <w:sz w:val="18"/>
          <w:szCs w:val="18"/>
        </w:rPr>
      </w:pPr>
    </w:p>
    <w:sectPr w:rsidR="002C416C" w:rsidRPr="008F2C27" w:rsidSect="0039060E">
      <w:headerReference w:type="default" r:id="rId8"/>
      <w:pgSz w:w="11906" w:h="16838"/>
      <w:pgMar w:top="1418" w:right="1418" w:bottom="1418" w:left="1418" w:header="4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1DF5" w14:textId="77777777" w:rsidR="00A21C34" w:rsidRDefault="00A21C34">
      <w:pPr>
        <w:spacing w:after="0"/>
      </w:pPr>
      <w:r>
        <w:separator/>
      </w:r>
    </w:p>
  </w:endnote>
  <w:endnote w:type="continuationSeparator" w:id="0">
    <w:p w14:paraId="6041970B" w14:textId="77777777" w:rsidR="00A21C34" w:rsidRDefault="00A21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7CAD" w14:textId="77777777" w:rsidR="00A21C34" w:rsidRDefault="00A21C34">
      <w:pPr>
        <w:spacing w:after="0"/>
      </w:pPr>
      <w:r>
        <w:separator/>
      </w:r>
    </w:p>
  </w:footnote>
  <w:footnote w:type="continuationSeparator" w:id="0">
    <w:p w14:paraId="242512D5" w14:textId="77777777" w:rsidR="00A21C34" w:rsidRDefault="00A21C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EEF9" w14:textId="1B772A52" w:rsidR="006D1E52" w:rsidRDefault="005D1BED" w:rsidP="0092634C">
    <w:pPr>
      <w:pStyle w:val="Default"/>
      <w:rPr>
        <w:rFonts w:ascii="Calibri" w:hAnsi="Calibri" w:cs="Calibri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8C7F1" wp14:editId="3337AF10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037080" cy="368300"/>
          <wp:effectExtent l="0" t="0" r="1270" b="0"/>
          <wp:wrapTight wrapText="bothSides">
            <wp:wrapPolygon edited="0">
              <wp:start x="0" y="0"/>
              <wp:lineTo x="0" y="20110"/>
              <wp:lineTo x="21411" y="20110"/>
              <wp:lineTo x="21411" y="0"/>
              <wp:lineTo x="0" y="0"/>
            </wp:wrapPolygon>
          </wp:wrapTight>
          <wp:docPr id="1162000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075" cy="36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BDE">
      <w:rPr>
        <w:noProof/>
      </w:rPr>
      <w:t xml:space="preserve">      </w:t>
    </w:r>
    <w:r w:rsidR="00F00BDE">
      <w:rPr>
        <w:rFonts w:ascii="Calibri" w:hAnsi="Calibri" w:cs="Calibri"/>
        <w:sz w:val="16"/>
        <w:szCs w:val="16"/>
      </w:rPr>
      <w:t xml:space="preserve">Směrnice </w:t>
    </w:r>
    <w:r w:rsidR="00F00BDE" w:rsidRPr="002808AC">
      <w:rPr>
        <w:rFonts w:ascii="Calibri" w:hAnsi="Calibri" w:cs="Calibri"/>
        <w:sz w:val="16"/>
        <w:szCs w:val="16"/>
      </w:rPr>
      <w:t>pro žadatele</w:t>
    </w:r>
    <w:r w:rsidR="009A4293">
      <w:rPr>
        <w:rFonts w:ascii="Calibri" w:hAnsi="Calibri" w:cs="Calibri"/>
        <w:sz w:val="16"/>
        <w:szCs w:val="16"/>
      </w:rPr>
      <w:t xml:space="preserve"> ER Praděd</w:t>
    </w:r>
    <w:r w:rsidR="00F00BDE" w:rsidRPr="002808AC">
      <w:rPr>
        <w:rFonts w:ascii="Calibri" w:hAnsi="Calibri" w:cs="Calibri"/>
        <w:sz w:val="16"/>
        <w:szCs w:val="16"/>
      </w:rPr>
      <w:t xml:space="preserve">, verze 1 </w:t>
    </w:r>
    <w:r w:rsidR="00F00BDE" w:rsidRPr="002808AC">
      <w:rPr>
        <w:rFonts w:ascii="Calibri" w:hAnsi="Calibri" w:cs="Calibri"/>
        <w:sz w:val="16"/>
        <w:szCs w:val="16"/>
        <w:lang w:val="pl-PL"/>
      </w:rPr>
      <w:t xml:space="preserve">/ </w:t>
    </w:r>
    <w:r w:rsidR="00F00BDE">
      <w:rPr>
        <w:rFonts w:ascii="Calibri" w:hAnsi="Calibri" w:cs="Calibri"/>
        <w:sz w:val="16"/>
        <w:szCs w:val="16"/>
        <w:lang w:val="pl-PL"/>
      </w:rPr>
      <w:t>Wytyczne</w:t>
    </w:r>
    <w:r w:rsidR="00F00BDE" w:rsidRPr="002808AC">
      <w:rPr>
        <w:rFonts w:ascii="Calibri" w:hAnsi="Calibri" w:cs="Calibri"/>
        <w:sz w:val="16"/>
        <w:szCs w:val="16"/>
        <w:lang w:val="pl-PL"/>
      </w:rPr>
      <w:t xml:space="preserve"> dla wnioskodawcy, wersja 1</w:t>
    </w:r>
  </w:p>
  <w:p w14:paraId="7CE5E4EE" w14:textId="50F03C3B" w:rsidR="00F00BDE" w:rsidRDefault="00F00BDE" w:rsidP="00F00BDE">
    <w:pPr>
      <w:pStyle w:val="Default"/>
      <w:jc w:val="right"/>
      <w:rPr>
        <w:noProof/>
      </w:rPr>
    </w:pPr>
    <w:r w:rsidRPr="002808AC">
      <w:rPr>
        <w:rFonts w:ascii="Calibri" w:hAnsi="Calibri" w:cs="Calibri"/>
        <w:sz w:val="16"/>
        <w:szCs w:val="16"/>
      </w:rPr>
      <w:t>Příloha</w:t>
    </w:r>
    <w:r>
      <w:rPr>
        <w:rFonts w:ascii="Calibri" w:hAnsi="Calibri" w:cs="Calibri"/>
        <w:sz w:val="16"/>
        <w:szCs w:val="16"/>
      </w:rPr>
      <w:t xml:space="preserve"> č.</w:t>
    </w:r>
    <w:r w:rsidR="009A4293">
      <w:rPr>
        <w:rFonts w:ascii="Calibri" w:hAnsi="Calibri" w:cs="Calibri"/>
        <w:sz w:val="16"/>
        <w:szCs w:val="16"/>
      </w:rPr>
      <w:t>9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>
      <w:rPr>
        <w:rFonts w:ascii="Calibri" w:hAnsi="Calibri" w:cs="Calibri"/>
        <w:sz w:val="16"/>
        <w:szCs w:val="16"/>
        <w:lang w:val="pl-PL"/>
      </w:rPr>
      <w:t xml:space="preserve">nr </w:t>
    </w:r>
    <w:r w:rsidR="009A4293">
      <w:rPr>
        <w:rFonts w:ascii="Calibri" w:hAnsi="Calibri" w:cs="Calibri"/>
        <w:sz w:val="16"/>
        <w:szCs w:val="16"/>
        <w:lang w:val="pl-PL"/>
      </w:rPr>
      <w:t>9</w:t>
    </w:r>
  </w:p>
  <w:p w14:paraId="2BC6A099" w14:textId="77777777" w:rsidR="006D1E52" w:rsidRDefault="006D1E52" w:rsidP="0092634C">
    <w:pPr>
      <w:pStyle w:val="Default"/>
      <w:rPr>
        <w:rFonts w:ascii="Calibri" w:hAnsi="Calibri" w:cs="Calibri"/>
        <w:sz w:val="28"/>
        <w:szCs w:val="28"/>
      </w:rPr>
    </w:pPr>
  </w:p>
  <w:p w14:paraId="7E0BD4C3" w14:textId="6EFF5758" w:rsidR="006D1E52" w:rsidRDefault="006D1E52" w:rsidP="0092634C">
    <w:pPr>
      <w:pStyle w:val="Default"/>
      <w:rPr>
        <w:rFonts w:ascii="Calibri" w:hAnsi="Calibri" w:cs="Calibri"/>
        <w:b/>
        <w:sz w:val="28"/>
        <w:szCs w:val="28"/>
      </w:rPr>
    </w:pPr>
    <w:r w:rsidRPr="0092634C">
      <w:rPr>
        <w:rFonts w:ascii="Calibri" w:hAnsi="Calibri" w:cs="Calibri"/>
        <w:b/>
        <w:sz w:val="28"/>
        <w:szCs w:val="28"/>
      </w:rPr>
      <w:t xml:space="preserve">PRIORITA 2: </w:t>
    </w:r>
    <w:r w:rsidR="00251D67">
      <w:rPr>
        <w:rFonts w:ascii="Calibri" w:hAnsi="Calibri" w:cs="Calibri"/>
        <w:b/>
        <w:sz w:val="28"/>
        <w:szCs w:val="28"/>
      </w:rPr>
      <w:t>CESTOVNÍ RUCH</w:t>
    </w:r>
  </w:p>
  <w:p w14:paraId="26EE2C1C" w14:textId="6EFBCEB0" w:rsidR="006D1E52" w:rsidRPr="00D92503" w:rsidRDefault="006D1E52" w:rsidP="0092634C">
    <w:pPr>
      <w:pStyle w:val="Default"/>
      <w:rPr>
        <w:rFonts w:ascii="Calibri" w:hAnsi="Calibri" w:cs="Calibri"/>
        <w:b/>
        <w:i/>
        <w:iCs/>
        <w:color w:val="2E74B5" w:themeColor="accent1" w:themeShade="BF"/>
        <w:sz w:val="28"/>
        <w:szCs w:val="28"/>
      </w:rPr>
    </w:pPr>
    <w:r w:rsidRPr="00D92503">
      <w:rPr>
        <w:rFonts w:ascii="Calibri" w:hAnsi="Calibri" w:cs="Calibri"/>
        <w:b/>
        <w:i/>
        <w:iCs/>
        <w:color w:val="2E74B5" w:themeColor="accent1" w:themeShade="BF"/>
        <w:sz w:val="28"/>
        <w:szCs w:val="28"/>
      </w:rPr>
      <w:t xml:space="preserve">PRIORYTET 2: </w:t>
    </w:r>
    <w:r w:rsidR="00251D67" w:rsidRPr="00D92503">
      <w:rPr>
        <w:rFonts w:ascii="Calibri" w:hAnsi="Calibri" w:cs="Calibri"/>
        <w:b/>
        <w:i/>
        <w:iCs/>
        <w:color w:val="2E74B5" w:themeColor="accent1" w:themeShade="BF"/>
        <w:sz w:val="28"/>
        <w:szCs w:val="28"/>
      </w:rPr>
      <w:t>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F2D2"/>
    <w:multiLevelType w:val="hybridMultilevel"/>
    <w:tmpl w:val="7E6872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B064C"/>
    <w:multiLevelType w:val="hybridMultilevel"/>
    <w:tmpl w:val="800823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532"/>
    <w:multiLevelType w:val="hybridMultilevel"/>
    <w:tmpl w:val="9306C7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D94"/>
    <w:multiLevelType w:val="hybridMultilevel"/>
    <w:tmpl w:val="C2526C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0DFA"/>
    <w:multiLevelType w:val="hybridMultilevel"/>
    <w:tmpl w:val="C1A67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F4C"/>
    <w:multiLevelType w:val="hybridMultilevel"/>
    <w:tmpl w:val="02D28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2294"/>
    <w:multiLevelType w:val="hybridMultilevel"/>
    <w:tmpl w:val="9CDE8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1E6A"/>
    <w:multiLevelType w:val="hybridMultilevel"/>
    <w:tmpl w:val="02E43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66DB"/>
    <w:multiLevelType w:val="hybridMultilevel"/>
    <w:tmpl w:val="558AF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3FB1"/>
    <w:multiLevelType w:val="hybridMultilevel"/>
    <w:tmpl w:val="EB4C4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873E6"/>
    <w:multiLevelType w:val="hybridMultilevel"/>
    <w:tmpl w:val="366C2F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1135"/>
    <w:multiLevelType w:val="multilevel"/>
    <w:tmpl w:val="EDA2FECE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49245E"/>
    <w:multiLevelType w:val="hybridMultilevel"/>
    <w:tmpl w:val="C0028E2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FAA069FC">
      <w:numFmt w:val="bullet"/>
      <w:lvlText w:val=""/>
      <w:lvlJc w:val="left"/>
      <w:pPr>
        <w:ind w:left="2919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B755994"/>
    <w:multiLevelType w:val="hybridMultilevel"/>
    <w:tmpl w:val="9DD687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113F4"/>
    <w:multiLevelType w:val="hybridMultilevel"/>
    <w:tmpl w:val="44D4D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B40C7"/>
    <w:multiLevelType w:val="hybridMultilevel"/>
    <w:tmpl w:val="D99B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4DF0B98"/>
    <w:multiLevelType w:val="hybridMultilevel"/>
    <w:tmpl w:val="A2BED7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334F6"/>
    <w:multiLevelType w:val="hybridMultilevel"/>
    <w:tmpl w:val="F5D0E1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067496">
    <w:abstractNumId w:val="2"/>
  </w:num>
  <w:num w:numId="2" w16cid:durableId="771365496">
    <w:abstractNumId w:val="9"/>
  </w:num>
  <w:num w:numId="3" w16cid:durableId="898323892">
    <w:abstractNumId w:val="1"/>
  </w:num>
  <w:num w:numId="4" w16cid:durableId="1764379966">
    <w:abstractNumId w:val="3"/>
  </w:num>
  <w:num w:numId="5" w16cid:durableId="2048866645">
    <w:abstractNumId w:val="4"/>
  </w:num>
  <w:num w:numId="6" w16cid:durableId="1831868355">
    <w:abstractNumId w:val="10"/>
  </w:num>
  <w:num w:numId="7" w16cid:durableId="1675641305">
    <w:abstractNumId w:val="5"/>
  </w:num>
  <w:num w:numId="8" w16cid:durableId="222721353">
    <w:abstractNumId w:val="6"/>
  </w:num>
  <w:num w:numId="9" w16cid:durableId="551893003">
    <w:abstractNumId w:val="19"/>
  </w:num>
  <w:num w:numId="10" w16cid:durableId="648285643">
    <w:abstractNumId w:val="18"/>
  </w:num>
  <w:num w:numId="11" w16cid:durableId="1008749468">
    <w:abstractNumId w:val="16"/>
  </w:num>
  <w:num w:numId="12" w16cid:durableId="913050798">
    <w:abstractNumId w:val="14"/>
  </w:num>
  <w:num w:numId="13" w16cid:durableId="1606234159">
    <w:abstractNumId w:val="7"/>
  </w:num>
  <w:num w:numId="14" w16cid:durableId="646054945">
    <w:abstractNumId w:val="13"/>
  </w:num>
  <w:num w:numId="15" w16cid:durableId="1590894133">
    <w:abstractNumId w:val="12"/>
  </w:num>
  <w:num w:numId="16" w16cid:durableId="502090421">
    <w:abstractNumId w:val="0"/>
  </w:num>
  <w:num w:numId="17" w16cid:durableId="1162235593">
    <w:abstractNumId w:val="8"/>
  </w:num>
  <w:num w:numId="18" w16cid:durableId="375737814">
    <w:abstractNumId w:val="17"/>
  </w:num>
  <w:num w:numId="19" w16cid:durableId="195894834">
    <w:abstractNumId w:val="11"/>
  </w:num>
  <w:num w:numId="20" w16cid:durableId="1535774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6C"/>
    <w:rsid w:val="00000846"/>
    <w:rsid w:val="00003FB2"/>
    <w:rsid w:val="00005EC1"/>
    <w:rsid w:val="000064ED"/>
    <w:rsid w:val="000230B3"/>
    <w:rsid w:val="00027A76"/>
    <w:rsid w:val="00033058"/>
    <w:rsid w:val="0004002F"/>
    <w:rsid w:val="00040F95"/>
    <w:rsid w:val="00042B43"/>
    <w:rsid w:val="0004543F"/>
    <w:rsid w:val="00053F2E"/>
    <w:rsid w:val="00056809"/>
    <w:rsid w:val="00062DB1"/>
    <w:rsid w:val="0006704D"/>
    <w:rsid w:val="00074F0F"/>
    <w:rsid w:val="00096310"/>
    <w:rsid w:val="000A0890"/>
    <w:rsid w:val="000A3472"/>
    <w:rsid w:val="000A3AB8"/>
    <w:rsid w:val="000C3647"/>
    <w:rsid w:val="000C7DAE"/>
    <w:rsid w:val="000D48B5"/>
    <w:rsid w:val="000E358C"/>
    <w:rsid w:val="00103E91"/>
    <w:rsid w:val="00107102"/>
    <w:rsid w:val="00115FBD"/>
    <w:rsid w:val="00123287"/>
    <w:rsid w:val="00127F02"/>
    <w:rsid w:val="0013213A"/>
    <w:rsid w:val="00135DB4"/>
    <w:rsid w:val="00144350"/>
    <w:rsid w:val="00144A00"/>
    <w:rsid w:val="001465B4"/>
    <w:rsid w:val="0016421A"/>
    <w:rsid w:val="00167077"/>
    <w:rsid w:val="00167684"/>
    <w:rsid w:val="00170FB2"/>
    <w:rsid w:val="00172EF0"/>
    <w:rsid w:val="001A16CB"/>
    <w:rsid w:val="001A2B56"/>
    <w:rsid w:val="001B3AEE"/>
    <w:rsid w:val="001B6223"/>
    <w:rsid w:val="001C308F"/>
    <w:rsid w:val="001C6E5F"/>
    <w:rsid w:val="001D3E2D"/>
    <w:rsid w:val="001F380A"/>
    <w:rsid w:val="001F687D"/>
    <w:rsid w:val="002004A9"/>
    <w:rsid w:val="00200DEA"/>
    <w:rsid w:val="00202DE8"/>
    <w:rsid w:val="002035F0"/>
    <w:rsid w:val="0021408B"/>
    <w:rsid w:val="002155B8"/>
    <w:rsid w:val="00232752"/>
    <w:rsid w:val="002424CD"/>
    <w:rsid w:val="00245482"/>
    <w:rsid w:val="002465B8"/>
    <w:rsid w:val="00251D67"/>
    <w:rsid w:val="0025447E"/>
    <w:rsid w:val="0025498D"/>
    <w:rsid w:val="00255D8B"/>
    <w:rsid w:val="00261052"/>
    <w:rsid w:val="00262211"/>
    <w:rsid w:val="00267524"/>
    <w:rsid w:val="00280F04"/>
    <w:rsid w:val="00297AC0"/>
    <w:rsid w:val="002A76CB"/>
    <w:rsid w:val="002B019D"/>
    <w:rsid w:val="002C0814"/>
    <w:rsid w:val="002C416C"/>
    <w:rsid w:val="002D1504"/>
    <w:rsid w:val="002E62EE"/>
    <w:rsid w:val="00305E59"/>
    <w:rsid w:val="003136B6"/>
    <w:rsid w:val="0032344D"/>
    <w:rsid w:val="00325D6D"/>
    <w:rsid w:val="00332275"/>
    <w:rsid w:val="00337195"/>
    <w:rsid w:val="00337B9E"/>
    <w:rsid w:val="0034355B"/>
    <w:rsid w:val="0035601B"/>
    <w:rsid w:val="003615C4"/>
    <w:rsid w:val="0036751B"/>
    <w:rsid w:val="003734FD"/>
    <w:rsid w:val="0039060E"/>
    <w:rsid w:val="00391B77"/>
    <w:rsid w:val="003A1257"/>
    <w:rsid w:val="003B4817"/>
    <w:rsid w:val="003C6AD0"/>
    <w:rsid w:val="003D0619"/>
    <w:rsid w:val="003E369F"/>
    <w:rsid w:val="003F27D9"/>
    <w:rsid w:val="003F6C10"/>
    <w:rsid w:val="003F7AFC"/>
    <w:rsid w:val="00404209"/>
    <w:rsid w:val="00407B09"/>
    <w:rsid w:val="00413259"/>
    <w:rsid w:val="00415C00"/>
    <w:rsid w:val="0041649B"/>
    <w:rsid w:val="00416585"/>
    <w:rsid w:val="00436933"/>
    <w:rsid w:val="00440538"/>
    <w:rsid w:val="00441616"/>
    <w:rsid w:val="00446272"/>
    <w:rsid w:val="0045006D"/>
    <w:rsid w:val="0045639A"/>
    <w:rsid w:val="00461BBA"/>
    <w:rsid w:val="004725DB"/>
    <w:rsid w:val="004A44FC"/>
    <w:rsid w:val="004C4D1B"/>
    <w:rsid w:val="004C5D7E"/>
    <w:rsid w:val="004D6FC9"/>
    <w:rsid w:val="004E09AF"/>
    <w:rsid w:val="005057E4"/>
    <w:rsid w:val="00511B16"/>
    <w:rsid w:val="0051503F"/>
    <w:rsid w:val="005152F1"/>
    <w:rsid w:val="00530A9D"/>
    <w:rsid w:val="005563F1"/>
    <w:rsid w:val="00573734"/>
    <w:rsid w:val="00574C46"/>
    <w:rsid w:val="00583B4F"/>
    <w:rsid w:val="005844BE"/>
    <w:rsid w:val="005919B4"/>
    <w:rsid w:val="005929EF"/>
    <w:rsid w:val="00593EE4"/>
    <w:rsid w:val="00594E54"/>
    <w:rsid w:val="005A3222"/>
    <w:rsid w:val="005A5804"/>
    <w:rsid w:val="005B46E5"/>
    <w:rsid w:val="005B5A7F"/>
    <w:rsid w:val="005B6434"/>
    <w:rsid w:val="005D1BED"/>
    <w:rsid w:val="005F2214"/>
    <w:rsid w:val="005F2240"/>
    <w:rsid w:val="00603CF6"/>
    <w:rsid w:val="00610FC5"/>
    <w:rsid w:val="0061108E"/>
    <w:rsid w:val="00613EC7"/>
    <w:rsid w:val="00613EF6"/>
    <w:rsid w:val="006157FF"/>
    <w:rsid w:val="006216DE"/>
    <w:rsid w:val="00630AC3"/>
    <w:rsid w:val="00634EF1"/>
    <w:rsid w:val="00642DAC"/>
    <w:rsid w:val="006520CD"/>
    <w:rsid w:val="0065307B"/>
    <w:rsid w:val="006802B3"/>
    <w:rsid w:val="00684A1D"/>
    <w:rsid w:val="006A332D"/>
    <w:rsid w:val="006B1C66"/>
    <w:rsid w:val="006B6E8B"/>
    <w:rsid w:val="006C79FB"/>
    <w:rsid w:val="006D1E52"/>
    <w:rsid w:val="006D4413"/>
    <w:rsid w:val="006E2F5C"/>
    <w:rsid w:val="006E6D81"/>
    <w:rsid w:val="006F0A3C"/>
    <w:rsid w:val="006F7733"/>
    <w:rsid w:val="0070342B"/>
    <w:rsid w:val="007069BD"/>
    <w:rsid w:val="0071099B"/>
    <w:rsid w:val="007239E8"/>
    <w:rsid w:val="00736F51"/>
    <w:rsid w:val="0074738D"/>
    <w:rsid w:val="00751880"/>
    <w:rsid w:val="00751C71"/>
    <w:rsid w:val="007612D2"/>
    <w:rsid w:val="00764D68"/>
    <w:rsid w:val="00771710"/>
    <w:rsid w:val="007717F6"/>
    <w:rsid w:val="00773AD8"/>
    <w:rsid w:val="00784FD1"/>
    <w:rsid w:val="00790BAD"/>
    <w:rsid w:val="007A2F5F"/>
    <w:rsid w:val="007A6B07"/>
    <w:rsid w:val="007C0589"/>
    <w:rsid w:val="007E3041"/>
    <w:rsid w:val="007F6180"/>
    <w:rsid w:val="00804E75"/>
    <w:rsid w:val="008135B7"/>
    <w:rsid w:val="0082433A"/>
    <w:rsid w:val="008266BC"/>
    <w:rsid w:val="00830EFC"/>
    <w:rsid w:val="008366B0"/>
    <w:rsid w:val="00841F9F"/>
    <w:rsid w:val="008450DD"/>
    <w:rsid w:val="00847CD7"/>
    <w:rsid w:val="00854150"/>
    <w:rsid w:val="008561C7"/>
    <w:rsid w:val="0085780C"/>
    <w:rsid w:val="00875424"/>
    <w:rsid w:val="00876040"/>
    <w:rsid w:val="008871E8"/>
    <w:rsid w:val="00893617"/>
    <w:rsid w:val="008A342E"/>
    <w:rsid w:val="008B00C7"/>
    <w:rsid w:val="008D0AA8"/>
    <w:rsid w:val="008D33ED"/>
    <w:rsid w:val="008D545E"/>
    <w:rsid w:val="008E2DD8"/>
    <w:rsid w:val="008F2C27"/>
    <w:rsid w:val="008F6339"/>
    <w:rsid w:val="00903DD0"/>
    <w:rsid w:val="009048BD"/>
    <w:rsid w:val="00910158"/>
    <w:rsid w:val="009179D2"/>
    <w:rsid w:val="00921D95"/>
    <w:rsid w:val="0092634C"/>
    <w:rsid w:val="009266B0"/>
    <w:rsid w:val="0093523E"/>
    <w:rsid w:val="00936621"/>
    <w:rsid w:val="0095639E"/>
    <w:rsid w:val="009613C9"/>
    <w:rsid w:val="00965F0E"/>
    <w:rsid w:val="009670B1"/>
    <w:rsid w:val="00970B41"/>
    <w:rsid w:val="009723CB"/>
    <w:rsid w:val="00982FF3"/>
    <w:rsid w:val="00993D33"/>
    <w:rsid w:val="009A3967"/>
    <w:rsid w:val="009A4293"/>
    <w:rsid w:val="009A7EC2"/>
    <w:rsid w:val="009C1852"/>
    <w:rsid w:val="00A0163B"/>
    <w:rsid w:val="00A02A30"/>
    <w:rsid w:val="00A0763C"/>
    <w:rsid w:val="00A21C34"/>
    <w:rsid w:val="00A21FDA"/>
    <w:rsid w:val="00A22A2C"/>
    <w:rsid w:val="00A27700"/>
    <w:rsid w:val="00A34BF2"/>
    <w:rsid w:val="00A3686E"/>
    <w:rsid w:val="00A5143C"/>
    <w:rsid w:val="00A53551"/>
    <w:rsid w:val="00A55F22"/>
    <w:rsid w:val="00A6788F"/>
    <w:rsid w:val="00A70521"/>
    <w:rsid w:val="00A71C4B"/>
    <w:rsid w:val="00A72846"/>
    <w:rsid w:val="00A8337C"/>
    <w:rsid w:val="00A84990"/>
    <w:rsid w:val="00A851E3"/>
    <w:rsid w:val="00A85D2A"/>
    <w:rsid w:val="00AA21FE"/>
    <w:rsid w:val="00AB5640"/>
    <w:rsid w:val="00AB6373"/>
    <w:rsid w:val="00AB7CD7"/>
    <w:rsid w:val="00AC57D7"/>
    <w:rsid w:val="00AD58C5"/>
    <w:rsid w:val="00AE62A0"/>
    <w:rsid w:val="00B036DF"/>
    <w:rsid w:val="00B20366"/>
    <w:rsid w:val="00B20AAC"/>
    <w:rsid w:val="00B26A8F"/>
    <w:rsid w:val="00B44EAC"/>
    <w:rsid w:val="00B45186"/>
    <w:rsid w:val="00B55CC5"/>
    <w:rsid w:val="00B62AA6"/>
    <w:rsid w:val="00B94315"/>
    <w:rsid w:val="00B95D8D"/>
    <w:rsid w:val="00BA442C"/>
    <w:rsid w:val="00BA789B"/>
    <w:rsid w:val="00BD0B11"/>
    <w:rsid w:val="00BE70DF"/>
    <w:rsid w:val="00BF7ED7"/>
    <w:rsid w:val="00C070F3"/>
    <w:rsid w:val="00C13421"/>
    <w:rsid w:val="00C15612"/>
    <w:rsid w:val="00C30384"/>
    <w:rsid w:val="00C41D72"/>
    <w:rsid w:val="00C708B8"/>
    <w:rsid w:val="00C723FB"/>
    <w:rsid w:val="00C73062"/>
    <w:rsid w:val="00C73FBE"/>
    <w:rsid w:val="00C74561"/>
    <w:rsid w:val="00C80FC6"/>
    <w:rsid w:val="00C81E77"/>
    <w:rsid w:val="00C844D4"/>
    <w:rsid w:val="00C9582C"/>
    <w:rsid w:val="00C970C6"/>
    <w:rsid w:val="00CA2485"/>
    <w:rsid w:val="00CA2B06"/>
    <w:rsid w:val="00CA395E"/>
    <w:rsid w:val="00CA6AFA"/>
    <w:rsid w:val="00CA6FBF"/>
    <w:rsid w:val="00CC66DD"/>
    <w:rsid w:val="00CC7F8B"/>
    <w:rsid w:val="00CE2922"/>
    <w:rsid w:val="00D066A6"/>
    <w:rsid w:val="00D06E75"/>
    <w:rsid w:val="00D179F4"/>
    <w:rsid w:val="00D33DF1"/>
    <w:rsid w:val="00D35853"/>
    <w:rsid w:val="00D54E50"/>
    <w:rsid w:val="00D57008"/>
    <w:rsid w:val="00D72FD9"/>
    <w:rsid w:val="00D84B62"/>
    <w:rsid w:val="00D92503"/>
    <w:rsid w:val="00D977AE"/>
    <w:rsid w:val="00DA350D"/>
    <w:rsid w:val="00DA52C7"/>
    <w:rsid w:val="00DB05E1"/>
    <w:rsid w:val="00DB4E69"/>
    <w:rsid w:val="00DC22DB"/>
    <w:rsid w:val="00DD0D16"/>
    <w:rsid w:val="00DD636B"/>
    <w:rsid w:val="00DE4C71"/>
    <w:rsid w:val="00DF50AA"/>
    <w:rsid w:val="00DF6CBE"/>
    <w:rsid w:val="00DF78C3"/>
    <w:rsid w:val="00DF7B3B"/>
    <w:rsid w:val="00DF7E06"/>
    <w:rsid w:val="00E0342D"/>
    <w:rsid w:val="00E05FCC"/>
    <w:rsid w:val="00E130ED"/>
    <w:rsid w:val="00E14E2E"/>
    <w:rsid w:val="00E54803"/>
    <w:rsid w:val="00E561E0"/>
    <w:rsid w:val="00E81E09"/>
    <w:rsid w:val="00E87EA3"/>
    <w:rsid w:val="00E90BFC"/>
    <w:rsid w:val="00E97FE2"/>
    <w:rsid w:val="00EA0384"/>
    <w:rsid w:val="00EA1215"/>
    <w:rsid w:val="00EC2DEF"/>
    <w:rsid w:val="00EC6629"/>
    <w:rsid w:val="00ED6933"/>
    <w:rsid w:val="00ED7781"/>
    <w:rsid w:val="00EE3625"/>
    <w:rsid w:val="00EE5E09"/>
    <w:rsid w:val="00F00332"/>
    <w:rsid w:val="00F00BDE"/>
    <w:rsid w:val="00F02BDB"/>
    <w:rsid w:val="00F0735E"/>
    <w:rsid w:val="00F1703F"/>
    <w:rsid w:val="00F20C33"/>
    <w:rsid w:val="00F35295"/>
    <w:rsid w:val="00F47A97"/>
    <w:rsid w:val="00F50624"/>
    <w:rsid w:val="00F532E0"/>
    <w:rsid w:val="00F54498"/>
    <w:rsid w:val="00F5539A"/>
    <w:rsid w:val="00F65BDB"/>
    <w:rsid w:val="00F676D3"/>
    <w:rsid w:val="00F960A3"/>
    <w:rsid w:val="00F96728"/>
    <w:rsid w:val="00FA16DD"/>
    <w:rsid w:val="00FC0C4D"/>
    <w:rsid w:val="00FD0B87"/>
    <w:rsid w:val="00FD351E"/>
    <w:rsid w:val="00FE4577"/>
    <w:rsid w:val="00FE5B33"/>
    <w:rsid w:val="00FE5CC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03EF5"/>
  <w15:chartTrackingRefBased/>
  <w15:docId w15:val="{9FA6E3EB-C67F-4F25-9B49-93D7020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16C"/>
    <w:pPr>
      <w:spacing w:after="24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5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0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420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05E59"/>
    <w:rPr>
      <w:rFonts w:ascii="Tahoma" w:hAnsi="Tahoma" w:cs="Tahoma"/>
      <w:sz w:val="16"/>
      <w:szCs w:val="16"/>
    </w:rPr>
  </w:style>
  <w:style w:type="paragraph" w:customStyle="1" w:styleId="CharCharCharCharZnakZnakCharZnakZnakCharZnakZnakCharZnakZnakCharCharChar">
    <w:name w:val="Char Char Char Char Znak Znak Char Znak Znak Char Znak Znak Char Znak Znak Char Char Char"/>
    <w:basedOn w:val="Normln"/>
    <w:rsid w:val="005F224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tulnstrana1">
    <w:name w:val="titulní strana 1"/>
    <w:basedOn w:val="Normln"/>
    <w:rsid w:val="00CC7F8B"/>
    <w:pPr>
      <w:spacing w:after="0"/>
      <w:jc w:val="left"/>
    </w:pPr>
    <w:rPr>
      <w:rFonts w:ascii="Arial" w:hAnsi="Arial"/>
      <w:sz w:val="32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05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05E1"/>
  </w:style>
  <w:style w:type="character" w:styleId="Znakapoznpodarou">
    <w:name w:val="footnote reference"/>
    <w:uiPriority w:val="99"/>
    <w:semiHidden/>
    <w:unhideWhenUsed/>
    <w:rsid w:val="00DB05E1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paragraph" w:customStyle="1" w:styleId="CM3">
    <w:name w:val="CM3"/>
    <w:basedOn w:val="Normln"/>
    <w:next w:val="Normln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character" w:customStyle="1" w:styleId="ZhlavChar">
    <w:name w:val="Záhlaví Char"/>
    <w:link w:val="Zhlav"/>
    <w:uiPriority w:val="99"/>
    <w:rsid w:val="00FE5CC2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27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A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A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A76"/>
    <w:rPr>
      <w:b/>
      <w:bCs/>
    </w:rPr>
  </w:style>
  <w:style w:type="paragraph" w:styleId="Bezmezer">
    <w:name w:val="No Spacing"/>
    <w:uiPriority w:val="1"/>
    <w:qFormat/>
    <w:rsid w:val="005563F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6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6"/>
    <w:qFormat/>
    <w:rsid w:val="00573734"/>
    <w:rPr>
      <w:rFonts w:ascii="Arial" w:hAnsi="Arial"/>
      <w:sz w:val="16"/>
    </w:rPr>
  </w:style>
  <w:style w:type="paragraph" w:styleId="Odstavecseseznamem">
    <w:name w:val="List Paragraph"/>
    <w:basedOn w:val="Normln"/>
    <w:link w:val="OdstavecseseznamemChar"/>
    <w:uiPriority w:val="36"/>
    <w:qFormat/>
    <w:rsid w:val="00573734"/>
    <w:pPr>
      <w:suppressAutoHyphens/>
      <w:spacing w:after="120" w:line="288" w:lineRule="auto"/>
      <w:ind w:left="720"/>
      <w:contextualSpacing/>
    </w:pPr>
    <w:rPr>
      <w:rFonts w:ascii="Arial" w:hAnsi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461BBA"/>
    <w:rPr>
      <w:color w:val="808080"/>
    </w:rPr>
  </w:style>
  <w:style w:type="character" w:customStyle="1" w:styleId="Styl1">
    <w:name w:val="Styl1"/>
    <w:basedOn w:val="Standardnpsmoodstavce"/>
    <w:rsid w:val="002E62EE"/>
    <w:rPr>
      <w:rFonts w:ascii="Calibri" w:hAnsi="Calibri"/>
      <w:b/>
      <w:sz w:val="18"/>
    </w:rPr>
  </w:style>
  <w:style w:type="character" w:customStyle="1" w:styleId="Styl2">
    <w:name w:val="Styl2"/>
    <w:basedOn w:val="Standardnpsmoodstavce"/>
    <w:rsid w:val="00AC57D7"/>
    <w:rPr>
      <w:rFonts w:ascii="Calibri" w:hAnsi="Calibri"/>
      <w:b/>
      <w:sz w:val="18"/>
    </w:rPr>
  </w:style>
  <w:style w:type="character" w:customStyle="1" w:styleId="Styl3">
    <w:name w:val="Styl3"/>
    <w:basedOn w:val="Standardnpsmoodstavce"/>
    <w:uiPriority w:val="1"/>
    <w:rsid w:val="00921D95"/>
    <w:rPr>
      <w:rFonts w:ascii="Calibri" w:hAnsi="Calibri"/>
      <w:sz w:val="18"/>
    </w:rPr>
  </w:style>
  <w:style w:type="character" w:customStyle="1" w:styleId="Styl4">
    <w:name w:val="Styl4"/>
    <w:basedOn w:val="Standardnpsmoodstavce"/>
    <w:uiPriority w:val="1"/>
    <w:rsid w:val="00921D95"/>
    <w:rPr>
      <w:b/>
    </w:rPr>
  </w:style>
  <w:style w:type="character" w:customStyle="1" w:styleId="Styl5">
    <w:name w:val="Styl5"/>
    <w:basedOn w:val="Standardnpsmoodstavce"/>
    <w:uiPriority w:val="1"/>
    <w:rsid w:val="00921D95"/>
    <w:rPr>
      <w:rFonts w:ascii="Calibri" w:hAnsi="Calibri"/>
      <w:sz w:val="20"/>
    </w:rPr>
  </w:style>
  <w:style w:type="character" w:customStyle="1" w:styleId="Styl6">
    <w:name w:val="Styl6"/>
    <w:basedOn w:val="Standardnpsmoodstavce"/>
    <w:uiPriority w:val="1"/>
    <w:rsid w:val="00921D95"/>
    <w:rPr>
      <w:rFonts w:ascii="Calibri" w:hAnsi="Calibri"/>
      <w:b/>
      <w:sz w:val="20"/>
    </w:rPr>
  </w:style>
  <w:style w:type="character" w:customStyle="1" w:styleId="Styl7">
    <w:name w:val="Styl7"/>
    <w:basedOn w:val="Standardnpsmoodstavce"/>
    <w:uiPriority w:val="1"/>
    <w:rsid w:val="00921D95"/>
    <w:rPr>
      <w:rFonts w:ascii="Calibri" w:hAnsi="Calibri"/>
      <w:b/>
      <w:sz w:val="20"/>
    </w:rPr>
  </w:style>
  <w:style w:type="paragraph" w:styleId="Revize">
    <w:name w:val="Revision"/>
    <w:hidden/>
    <w:uiPriority w:val="99"/>
    <w:semiHidden/>
    <w:rsid w:val="00415C00"/>
    <w:rPr>
      <w:sz w:val="24"/>
      <w:szCs w:val="24"/>
    </w:rPr>
  </w:style>
  <w:style w:type="character" w:customStyle="1" w:styleId="rynqvb">
    <w:name w:val="rynqvb"/>
    <w:basedOn w:val="Standardnpsmoodstavce"/>
    <w:rsid w:val="003F27D9"/>
  </w:style>
  <w:style w:type="character" w:customStyle="1" w:styleId="Nadpis1Char">
    <w:name w:val="Nadpis 1 Char"/>
    <w:basedOn w:val="Standardnpsmoodstavce"/>
    <w:link w:val="Nadpis1"/>
    <w:uiPriority w:val="9"/>
    <w:rsid w:val="00EE5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E5E09"/>
    <w:pPr>
      <w:spacing w:line="259" w:lineRule="auto"/>
      <w:jc w:val="left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EE5E09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EE5E09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E5E09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CZNormln">
    <w:name w:val="CZ Normální"/>
    <w:basedOn w:val="Normln"/>
    <w:qFormat/>
    <w:rsid w:val="00F47A97"/>
    <w:pPr>
      <w:spacing w:after="120" w:line="288" w:lineRule="auto"/>
    </w:pPr>
    <w:rPr>
      <w:rFonts w:ascii="Arial" w:eastAsiaTheme="minorHAnsi" w:hAnsi="Arial" w:cstheme="minorBid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8001A-6A5A-418A-8814-519B7A59CB63}"/>
      </w:docPartPr>
      <w:docPartBody>
        <w:p w:rsidR="006C12B1" w:rsidRDefault="00F02D93">
          <w:r w:rsidRPr="00FA01C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D2347-0218-437F-A2E1-E586310C6BD5}"/>
      </w:docPartPr>
      <w:docPartBody>
        <w:p w:rsidR="00AF4A6F" w:rsidRDefault="00C770BF">
          <w:r w:rsidRPr="00D466C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93"/>
    <w:rsid w:val="000A2D3B"/>
    <w:rsid w:val="001C6D22"/>
    <w:rsid w:val="0025667D"/>
    <w:rsid w:val="00321749"/>
    <w:rsid w:val="003662B4"/>
    <w:rsid w:val="00473CC8"/>
    <w:rsid w:val="004B40E0"/>
    <w:rsid w:val="00541029"/>
    <w:rsid w:val="00615155"/>
    <w:rsid w:val="006C12B1"/>
    <w:rsid w:val="007259FA"/>
    <w:rsid w:val="00754904"/>
    <w:rsid w:val="008156DC"/>
    <w:rsid w:val="008D501C"/>
    <w:rsid w:val="00936681"/>
    <w:rsid w:val="00955BF5"/>
    <w:rsid w:val="00AB74F5"/>
    <w:rsid w:val="00AF4A6F"/>
    <w:rsid w:val="00B02FF8"/>
    <w:rsid w:val="00B75D4A"/>
    <w:rsid w:val="00C770BF"/>
    <w:rsid w:val="00DF7F7A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0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5E29-35E9-407D-9EDA-E769555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2296</Words>
  <Characters>15698</Characters>
  <Application>Microsoft Office Word</Application>
  <DocSecurity>0</DocSecurity>
  <Lines>130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Název projektu:</vt:lpstr>
      <vt:lpstr>Název projektu:</vt:lpstr>
    </vt:vector>
  </TitlesOfParts>
  <Company>MMR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subject/>
  <dc:creator>Jaroslava Vránová</dc:creator>
  <cp:keywords/>
  <dc:description/>
  <cp:lastModifiedBy>Zdeňka Jarmarová</cp:lastModifiedBy>
  <cp:revision>2</cp:revision>
  <cp:lastPrinted>2007-12-17T15:37:00Z</cp:lastPrinted>
  <dcterms:created xsi:type="dcterms:W3CDTF">2024-02-14T09:10:00Z</dcterms:created>
  <dcterms:modified xsi:type="dcterms:W3CDTF">2024-02-14T09:10:00Z</dcterms:modified>
</cp:coreProperties>
</file>